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EA575F0" w:rsidR="003C7F2F" w:rsidRDefault="00000A4C" w:rsidP="003C7F2F">
      <w:pPr>
        <w:spacing w:after="480"/>
      </w:pPr>
      <w:r>
        <w:t xml:space="preserve"> </w:t>
      </w:r>
      <w:r w:rsidR="00841053" w:rsidRPr="00841053">
        <w:rPr>
          <w:rFonts w:eastAsia="Calibri"/>
          <w:noProof/>
        </w:rPr>
        <w:drawing>
          <wp:inline distT="0" distB="0" distL="0" distR="0" wp14:anchorId="6D9EA324" wp14:editId="79E5905D">
            <wp:extent cx="2443163" cy="705397"/>
            <wp:effectExtent l="0" t="0" r="0" b="0"/>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333"/>
      </w:tblGrid>
      <w:tr w:rsidR="003C7F2F" w14:paraId="719D56FE" w14:textId="77777777" w:rsidTr="00541017">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pPr>
            <w:r>
              <w:t>Report f</w:t>
            </w:r>
            <w:r w:rsidRPr="00C869F3">
              <w:t>or:</w:t>
            </w:r>
          </w:p>
        </w:tc>
        <w:tc>
          <w:tcPr>
            <w:tcW w:w="5333" w:type="dxa"/>
            <w:tcBorders>
              <w:bottom w:val="single" w:sz="18" w:space="0" w:color="auto"/>
            </w:tcBorders>
          </w:tcPr>
          <w:p w14:paraId="6C4D6EB7" w14:textId="77777777" w:rsidR="003C7F2F" w:rsidRPr="005E3A10" w:rsidRDefault="003C7F2F" w:rsidP="008C351D">
            <w:pPr>
              <w:pStyle w:val="Heading1"/>
              <w:rPr>
                <w:szCs w:val="24"/>
              </w:rPr>
            </w:pPr>
            <w:r w:rsidRPr="005E3A10">
              <w:t>Cabinet</w:t>
            </w:r>
          </w:p>
        </w:tc>
      </w:tr>
      <w:tr w:rsidR="003C7F2F" w14:paraId="795E4B25" w14:textId="77777777" w:rsidTr="00541017">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33" w:type="dxa"/>
            <w:tcBorders>
              <w:top w:val="single" w:sz="18" w:space="0" w:color="auto"/>
            </w:tcBorders>
          </w:tcPr>
          <w:p w14:paraId="14ED9448" w14:textId="1B401560" w:rsidR="003C7F2F" w:rsidRPr="005E3A10" w:rsidRDefault="003C7F2F" w:rsidP="003C7F2F">
            <w:pPr>
              <w:spacing w:line="360" w:lineRule="auto"/>
              <w:rPr>
                <w:rFonts w:cs="Arial"/>
                <w:szCs w:val="24"/>
              </w:rPr>
            </w:pPr>
            <w:r>
              <w:rPr>
                <w:rFonts w:cs="Arial"/>
                <w:szCs w:val="24"/>
              </w:rPr>
              <w:t>1</w:t>
            </w:r>
            <w:r w:rsidR="00841053">
              <w:rPr>
                <w:rFonts w:cs="Arial"/>
                <w:szCs w:val="24"/>
              </w:rPr>
              <w:t>4</w:t>
            </w:r>
            <w:r>
              <w:rPr>
                <w:rFonts w:cs="Arial"/>
                <w:szCs w:val="24"/>
              </w:rPr>
              <w:t xml:space="preserve"> September 202</w:t>
            </w:r>
            <w:r w:rsidR="00841053">
              <w:rPr>
                <w:rFonts w:cs="Arial"/>
                <w:szCs w:val="24"/>
              </w:rPr>
              <w:t>3</w:t>
            </w:r>
          </w:p>
        </w:tc>
      </w:tr>
      <w:tr w:rsidR="003C7F2F" w14:paraId="2BAFBD63" w14:textId="77777777" w:rsidTr="00541017">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333" w:type="dxa"/>
          </w:tcPr>
          <w:p w14:paraId="6D0A79EC" w14:textId="1FED659F" w:rsidR="003C7F2F" w:rsidRPr="003A742D" w:rsidRDefault="003C7F2F" w:rsidP="003C7F2F">
            <w:pPr>
              <w:rPr>
                <w:rFonts w:cs="Arial"/>
                <w:szCs w:val="24"/>
              </w:rPr>
            </w:pPr>
            <w:r w:rsidRPr="003A742D">
              <w:rPr>
                <w:rFonts w:cs="Arial"/>
                <w:szCs w:val="24"/>
              </w:rPr>
              <w:t xml:space="preserve">Revenue and Capital </w:t>
            </w:r>
            <w:r w:rsidR="00343D58">
              <w:rPr>
                <w:rFonts w:cs="Arial"/>
                <w:szCs w:val="24"/>
              </w:rPr>
              <w:t>Budget</w:t>
            </w:r>
            <w:r w:rsidRPr="003A742D">
              <w:rPr>
                <w:rFonts w:cs="Arial"/>
                <w:szCs w:val="24"/>
              </w:rPr>
              <w:t xml:space="preserve"> </w:t>
            </w:r>
            <w:r w:rsidR="00841053">
              <w:rPr>
                <w:rFonts w:cs="Arial"/>
                <w:szCs w:val="24"/>
              </w:rPr>
              <w:t xml:space="preserve">Monitoring Report </w:t>
            </w:r>
            <w:r>
              <w:rPr>
                <w:rFonts w:cs="Arial"/>
                <w:szCs w:val="24"/>
              </w:rPr>
              <w:t>202</w:t>
            </w:r>
            <w:r w:rsidR="00841053">
              <w:rPr>
                <w:rFonts w:cs="Arial"/>
                <w:szCs w:val="24"/>
              </w:rPr>
              <w:t>3</w:t>
            </w:r>
            <w:r>
              <w:rPr>
                <w:rFonts w:cs="Arial"/>
                <w:szCs w:val="24"/>
              </w:rPr>
              <w:t>-2</w:t>
            </w:r>
            <w:r w:rsidR="00841053">
              <w:rPr>
                <w:rFonts w:cs="Arial"/>
                <w:szCs w:val="24"/>
              </w:rPr>
              <w:t>4 Q1</w:t>
            </w:r>
            <w:r>
              <w:rPr>
                <w:rFonts w:cs="Arial"/>
                <w:szCs w:val="24"/>
              </w:rPr>
              <w:t xml:space="preserve"> </w:t>
            </w:r>
          </w:p>
          <w:p w14:paraId="0E173743" w14:textId="77777777" w:rsidR="003C7F2F" w:rsidRPr="005E3A10" w:rsidRDefault="003C7F2F" w:rsidP="003C7F2F">
            <w:pPr>
              <w:rPr>
                <w:rFonts w:cs="Arial"/>
                <w:szCs w:val="24"/>
              </w:rPr>
            </w:pPr>
          </w:p>
        </w:tc>
      </w:tr>
      <w:tr w:rsidR="003C7F2F" w14:paraId="6D9F09DB" w14:textId="77777777" w:rsidTr="00541017">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333" w:type="dxa"/>
          </w:tcPr>
          <w:p w14:paraId="1DF5314E" w14:textId="3E7A4D58" w:rsidR="003C7F2F" w:rsidRPr="005E3A10" w:rsidRDefault="00841053" w:rsidP="003C7F2F">
            <w:pPr>
              <w:pStyle w:val="Infotext"/>
              <w:rPr>
                <w:rFonts w:cs="Arial"/>
                <w:sz w:val="24"/>
                <w:szCs w:val="24"/>
              </w:rPr>
            </w:pPr>
            <w:r>
              <w:rPr>
                <w:rFonts w:cs="Arial"/>
                <w:sz w:val="24"/>
                <w:szCs w:val="24"/>
              </w:rPr>
              <w:t>Yes</w:t>
            </w:r>
          </w:p>
          <w:p w14:paraId="1AACAE15" w14:textId="77777777" w:rsidR="003C7F2F" w:rsidRPr="005E3A10" w:rsidRDefault="003C7F2F" w:rsidP="003C7F2F">
            <w:pPr>
              <w:pStyle w:val="Infotext"/>
              <w:rPr>
                <w:rFonts w:cs="Arial"/>
                <w:szCs w:val="24"/>
              </w:rPr>
            </w:pPr>
          </w:p>
        </w:tc>
      </w:tr>
      <w:tr w:rsidR="003C7F2F" w14:paraId="47289D10" w14:textId="77777777" w:rsidTr="00541017">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333" w:type="dxa"/>
          </w:tcPr>
          <w:p w14:paraId="415961F0" w14:textId="1968257E" w:rsidR="003C7F2F" w:rsidRPr="00B37833" w:rsidRDefault="00841053" w:rsidP="003C7F2F">
            <w:pPr>
              <w:pStyle w:val="Infotext"/>
              <w:rPr>
                <w:rFonts w:cs="Arial"/>
                <w:sz w:val="24"/>
                <w:szCs w:val="24"/>
              </w:rPr>
            </w:pPr>
            <w:r>
              <w:rPr>
                <w:rFonts w:cs="Arial"/>
                <w:sz w:val="24"/>
                <w:szCs w:val="24"/>
              </w:rPr>
              <w:t>Sharon Daniels</w:t>
            </w:r>
            <w:r w:rsidR="003C7F2F">
              <w:rPr>
                <w:rFonts w:cs="Arial"/>
                <w:sz w:val="24"/>
                <w:szCs w:val="24"/>
              </w:rPr>
              <w:t xml:space="preserve"> -</w:t>
            </w:r>
            <w:r>
              <w:rPr>
                <w:rFonts w:cs="Arial"/>
                <w:sz w:val="24"/>
                <w:szCs w:val="24"/>
              </w:rPr>
              <w:t xml:space="preserve"> Interim</w:t>
            </w:r>
            <w:r w:rsidR="003C7F2F">
              <w:rPr>
                <w:rFonts w:cs="Arial"/>
                <w:sz w:val="24"/>
                <w:szCs w:val="24"/>
              </w:rPr>
              <w:t xml:space="preserve"> </w:t>
            </w:r>
            <w:r w:rsidR="003C7F2F"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541017">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333" w:type="dxa"/>
          </w:tcPr>
          <w:p w14:paraId="5ED3777C" w14:textId="00BEC6F7" w:rsidR="003C7F2F" w:rsidRPr="00D30295" w:rsidRDefault="003C7F2F" w:rsidP="003C7F2F">
            <w:pPr>
              <w:pStyle w:val="Infotext"/>
              <w:jc w:val="both"/>
              <w:rPr>
                <w:rFonts w:cs="Arial"/>
                <w:sz w:val="24"/>
                <w:szCs w:val="24"/>
              </w:rPr>
            </w:pPr>
            <w:r w:rsidRPr="00D30295">
              <w:rPr>
                <w:rFonts w:cs="Arial"/>
                <w:sz w:val="24"/>
                <w:szCs w:val="24"/>
              </w:rPr>
              <w:t>Councillor David Ashton - Portfolio Holder for Finance and Human Resources</w:t>
            </w:r>
          </w:p>
          <w:p w14:paraId="4E75177C" w14:textId="005F307A" w:rsidR="003C7F2F" w:rsidRPr="00D30295" w:rsidRDefault="003C7F2F" w:rsidP="003C7F2F">
            <w:pPr>
              <w:pStyle w:val="Infotext"/>
              <w:rPr>
                <w:rFonts w:cs="Arial"/>
                <w:sz w:val="24"/>
                <w:szCs w:val="24"/>
              </w:rPr>
            </w:pPr>
          </w:p>
        </w:tc>
      </w:tr>
      <w:tr w:rsidR="00541017" w14:paraId="2A25BD0E" w14:textId="77777777" w:rsidTr="00541017">
        <w:tc>
          <w:tcPr>
            <w:tcW w:w="3456" w:type="dxa"/>
          </w:tcPr>
          <w:p w14:paraId="5422C349" w14:textId="77777777" w:rsidR="00541017" w:rsidRPr="00C13A5F" w:rsidRDefault="00541017" w:rsidP="00541017">
            <w:pPr>
              <w:pStyle w:val="Infotext"/>
              <w:spacing w:after="240"/>
              <w:rPr>
                <w:rFonts w:ascii="Arial Black" w:hAnsi="Arial Black"/>
              </w:rPr>
            </w:pPr>
            <w:r w:rsidRPr="00DB6C3D">
              <w:rPr>
                <w:rFonts w:ascii="Arial Black" w:hAnsi="Arial Black"/>
              </w:rPr>
              <w:t>Exempt:</w:t>
            </w:r>
          </w:p>
        </w:tc>
        <w:tc>
          <w:tcPr>
            <w:tcW w:w="5333" w:type="dxa"/>
          </w:tcPr>
          <w:p w14:paraId="6C5F8A5A" w14:textId="26F2D092" w:rsidR="00541017" w:rsidRPr="00D30295" w:rsidRDefault="00541017" w:rsidP="00541017">
            <w:pPr>
              <w:pStyle w:val="Infotext"/>
              <w:jc w:val="both"/>
              <w:rPr>
                <w:rFonts w:cs="Arial"/>
                <w:sz w:val="24"/>
                <w:szCs w:val="24"/>
              </w:rPr>
            </w:pPr>
            <w:r w:rsidRPr="00D30295">
              <w:rPr>
                <w:rFonts w:cs="Arial"/>
                <w:sz w:val="24"/>
                <w:szCs w:val="24"/>
              </w:rPr>
              <w:t xml:space="preserve">No </w:t>
            </w:r>
            <w:r w:rsidRPr="00D30295">
              <w:rPr>
                <w:rFonts w:cs="Arial"/>
                <w:bCs/>
                <w:sz w:val="24"/>
                <w:szCs w:val="24"/>
              </w:rPr>
              <w:t>except for Appendix 5</w:t>
            </w:r>
            <w:r w:rsidR="00870761" w:rsidRPr="00D30295">
              <w:rPr>
                <w:rFonts w:cs="Arial"/>
                <w:bCs/>
                <w:sz w:val="24"/>
                <w:szCs w:val="24"/>
              </w:rPr>
              <w:t xml:space="preserve"> and Appendix 6</w:t>
            </w:r>
            <w:r w:rsidRPr="00D30295">
              <w:rPr>
                <w:rFonts w:cs="Arial"/>
                <w:bCs/>
                <w:sz w:val="24"/>
                <w:szCs w:val="24"/>
              </w:rPr>
              <w:t xml:space="preserve"> which </w:t>
            </w:r>
            <w:r w:rsidR="00870761" w:rsidRPr="00D30295">
              <w:rPr>
                <w:rFonts w:cs="Arial"/>
                <w:bCs/>
                <w:sz w:val="24"/>
                <w:szCs w:val="24"/>
              </w:rPr>
              <w:t>are</w:t>
            </w:r>
            <w:r w:rsidR="00D46FF4" w:rsidRPr="00D30295">
              <w:rPr>
                <w:rFonts w:cs="Arial"/>
                <w:bCs/>
                <w:sz w:val="24"/>
                <w:szCs w:val="24"/>
              </w:rPr>
              <w:t xml:space="preserve"> exempt</w:t>
            </w:r>
            <w:r w:rsidRPr="00D30295">
              <w:rPr>
                <w:rFonts w:cs="Arial"/>
                <w:bCs/>
                <w:sz w:val="24"/>
                <w:szCs w:val="24"/>
              </w:rPr>
              <w:t xml:space="preserve"> on the grounds that it contains “exempt information” under paragraph 3 of Part I of Schedule 12A to the Local Government Act 1972 (as amended) in that they contain information relating to the financial or business affairs of any particular person (including the authority holding that information).</w:t>
            </w:r>
          </w:p>
          <w:p w14:paraId="016F6942" w14:textId="77777777" w:rsidR="00541017" w:rsidRPr="00D30295" w:rsidRDefault="00541017" w:rsidP="00541017">
            <w:pPr>
              <w:pStyle w:val="Infotext"/>
              <w:rPr>
                <w:rFonts w:cs="Arial"/>
                <w:sz w:val="24"/>
                <w:szCs w:val="24"/>
              </w:rPr>
            </w:pPr>
          </w:p>
        </w:tc>
      </w:tr>
      <w:tr w:rsidR="00541017" w14:paraId="20FCCAC6" w14:textId="77777777" w:rsidTr="00541017">
        <w:tc>
          <w:tcPr>
            <w:tcW w:w="3456" w:type="dxa"/>
          </w:tcPr>
          <w:p w14:paraId="04D27EC8" w14:textId="77777777" w:rsidR="00541017" w:rsidRPr="00C13A5F" w:rsidRDefault="00541017" w:rsidP="00541017">
            <w:pPr>
              <w:pStyle w:val="Infotext"/>
              <w:spacing w:after="240"/>
              <w:rPr>
                <w:rFonts w:ascii="Arial Black" w:hAnsi="Arial Black"/>
              </w:rPr>
            </w:pPr>
            <w:r w:rsidRPr="00DB6C3D">
              <w:rPr>
                <w:rFonts w:ascii="Arial Black" w:hAnsi="Arial Black"/>
              </w:rPr>
              <w:t>Decision subject to Call-in:</w:t>
            </w:r>
          </w:p>
        </w:tc>
        <w:tc>
          <w:tcPr>
            <w:tcW w:w="5333" w:type="dxa"/>
          </w:tcPr>
          <w:p w14:paraId="34B50E92" w14:textId="05B8AEC2" w:rsidR="00541017" w:rsidRPr="005E3A10" w:rsidRDefault="00541017" w:rsidP="00541017">
            <w:pPr>
              <w:pStyle w:val="Infotext"/>
              <w:rPr>
                <w:rFonts w:cs="Arial"/>
                <w:szCs w:val="24"/>
              </w:rPr>
            </w:pPr>
            <w:r w:rsidRPr="005E3A10">
              <w:rPr>
                <w:rFonts w:cs="Arial"/>
                <w:sz w:val="24"/>
                <w:szCs w:val="24"/>
              </w:rPr>
              <w:t xml:space="preserve">Yes </w:t>
            </w:r>
          </w:p>
        </w:tc>
      </w:tr>
      <w:tr w:rsidR="00541017" w14:paraId="4F30CCD1" w14:textId="77777777" w:rsidTr="00541017">
        <w:tc>
          <w:tcPr>
            <w:tcW w:w="3456" w:type="dxa"/>
          </w:tcPr>
          <w:p w14:paraId="1CFBD3F4" w14:textId="77777777" w:rsidR="00541017" w:rsidRPr="00C13A5F" w:rsidRDefault="00541017" w:rsidP="00541017">
            <w:pPr>
              <w:pStyle w:val="Infotext"/>
              <w:spacing w:after="240"/>
              <w:rPr>
                <w:rFonts w:ascii="Arial Black" w:hAnsi="Arial Black" w:cs="Arial"/>
              </w:rPr>
            </w:pPr>
            <w:r>
              <w:rPr>
                <w:rFonts w:ascii="Arial Black" w:hAnsi="Arial Black" w:cs="Arial"/>
              </w:rPr>
              <w:t>Wards affected:</w:t>
            </w:r>
          </w:p>
        </w:tc>
        <w:tc>
          <w:tcPr>
            <w:tcW w:w="5333" w:type="dxa"/>
          </w:tcPr>
          <w:p w14:paraId="66F48F78" w14:textId="03B15E7F" w:rsidR="00541017" w:rsidRPr="00307F76" w:rsidRDefault="00541017" w:rsidP="00541017">
            <w:pPr>
              <w:rPr>
                <w:rFonts w:cs="Arial"/>
                <w:b/>
                <w:color w:val="FF0000"/>
                <w:szCs w:val="24"/>
              </w:rPr>
            </w:pPr>
            <w:r>
              <w:rPr>
                <w:rFonts w:cs="Arial"/>
                <w:szCs w:val="24"/>
              </w:rPr>
              <w:t>All</w:t>
            </w:r>
          </w:p>
        </w:tc>
      </w:tr>
      <w:tr w:rsidR="00D30295" w:rsidRPr="00D30295" w14:paraId="5747A94D" w14:textId="77777777" w:rsidTr="00541017">
        <w:tc>
          <w:tcPr>
            <w:tcW w:w="3456" w:type="dxa"/>
          </w:tcPr>
          <w:p w14:paraId="1E2E4465" w14:textId="77777777" w:rsidR="00541017" w:rsidRPr="00D30295" w:rsidRDefault="00541017" w:rsidP="00541017">
            <w:pPr>
              <w:pStyle w:val="Infotext"/>
              <w:spacing w:after="240"/>
              <w:rPr>
                <w:rFonts w:ascii="Arial Black" w:hAnsi="Arial Black" w:cs="Arial"/>
              </w:rPr>
            </w:pPr>
            <w:r w:rsidRPr="00D30295">
              <w:rPr>
                <w:rFonts w:ascii="Arial Black" w:hAnsi="Arial Black" w:cs="Arial"/>
              </w:rPr>
              <w:t>Enclosures:</w:t>
            </w:r>
          </w:p>
        </w:tc>
        <w:tc>
          <w:tcPr>
            <w:tcW w:w="5333" w:type="dxa"/>
          </w:tcPr>
          <w:p w14:paraId="4338303E" w14:textId="78C6CBB3" w:rsidR="00541017" w:rsidRPr="00D30295" w:rsidRDefault="00541017" w:rsidP="00541017">
            <w:pPr>
              <w:rPr>
                <w:rFonts w:cs="Arial"/>
                <w:szCs w:val="24"/>
              </w:rPr>
            </w:pPr>
            <w:r w:rsidRPr="00D30295">
              <w:rPr>
                <w:rFonts w:cs="Arial"/>
                <w:szCs w:val="24"/>
              </w:rPr>
              <w:t>Appendix 1 – Summary of Grants 2023-24</w:t>
            </w:r>
          </w:p>
          <w:p w14:paraId="7D81795A" w14:textId="1406713C" w:rsidR="00541017" w:rsidRPr="00D30295" w:rsidRDefault="00541017" w:rsidP="00541017">
            <w:pPr>
              <w:ind w:right="-105"/>
              <w:rPr>
                <w:rFonts w:cs="Arial"/>
                <w:szCs w:val="24"/>
              </w:rPr>
            </w:pPr>
            <w:r w:rsidRPr="00D30295">
              <w:rPr>
                <w:rFonts w:cs="Arial"/>
                <w:szCs w:val="24"/>
              </w:rPr>
              <w:t>Appendix 2 – MTFS Savings Tracker 2023-24</w:t>
            </w:r>
          </w:p>
          <w:p w14:paraId="5D9F82C1" w14:textId="2E077BCF" w:rsidR="00541017" w:rsidRPr="00D30295" w:rsidRDefault="00541017" w:rsidP="00541017">
            <w:pPr>
              <w:pStyle w:val="Infotext"/>
              <w:rPr>
                <w:rFonts w:cs="Arial"/>
                <w:sz w:val="24"/>
                <w:szCs w:val="24"/>
              </w:rPr>
            </w:pPr>
            <w:r w:rsidRPr="00D30295">
              <w:rPr>
                <w:rFonts w:cs="Arial"/>
                <w:sz w:val="24"/>
                <w:szCs w:val="24"/>
              </w:rPr>
              <w:t>Appendix 3 – Capital Programme</w:t>
            </w:r>
            <w:r w:rsidRPr="00D30295">
              <w:rPr>
                <w:rFonts w:cs="Arial"/>
                <w:szCs w:val="24"/>
              </w:rPr>
              <w:t xml:space="preserve"> </w:t>
            </w:r>
            <w:r w:rsidRPr="00D30295">
              <w:rPr>
                <w:rFonts w:cs="Arial"/>
                <w:sz w:val="24"/>
                <w:szCs w:val="24"/>
              </w:rPr>
              <w:t>2023-24</w:t>
            </w:r>
          </w:p>
          <w:p w14:paraId="79B7D19F" w14:textId="77777777" w:rsidR="00541017" w:rsidRPr="00D30295" w:rsidRDefault="00541017" w:rsidP="00A97E03">
            <w:pPr>
              <w:pStyle w:val="Infotext"/>
              <w:ind w:right="-389"/>
              <w:rPr>
                <w:rFonts w:cs="Arial"/>
                <w:sz w:val="24"/>
                <w:szCs w:val="24"/>
              </w:rPr>
            </w:pPr>
            <w:r w:rsidRPr="00D30295">
              <w:rPr>
                <w:rFonts w:cs="Arial"/>
                <w:sz w:val="24"/>
                <w:szCs w:val="24"/>
              </w:rPr>
              <w:t xml:space="preserve">Appendix 4 – Trading Company Update </w:t>
            </w:r>
            <w:r w:rsidR="00A97E03" w:rsidRPr="00D30295">
              <w:rPr>
                <w:rFonts w:cs="Arial"/>
                <w:sz w:val="24"/>
                <w:szCs w:val="24"/>
              </w:rPr>
              <w:t>2023-24</w:t>
            </w:r>
          </w:p>
          <w:p w14:paraId="479B5022" w14:textId="7270E72A" w:rsidR="00A97E03" w:rsidRPr="00D30295" w:rsidRDefault="00A97E03" w:rsidP="00A97E03">
            <w:pPr>
              <w:pStyle w:val="Infotext"/>
              <w:ind w:right="-389"/>
              <w:rPr>
                <w:sz w:val="24"/>
                <w:szCs w:val="24"/>
              </w:rPr>
            </w:pPr>
            <w:r w:rsidRPr="00D30295">
              <w:rPr>
                <w:sz w:val="24"/>
                <w:szCs w:val="24"/>
              </w:rPr>
              <w:t>Appendix 5 – EXEMPT</w:t>
            </w:r>
            <w:r w:rsidR="00870761" w:rsidRPr="00D30295">
              <w:rPr>
                <w:sz w:val="24"/>
                <w:szCs w:val="24"/>
              </w:rPr>
              <w:t xml:space="preserve"> – </w:t>
            </w:r>
            <w:proofErr w:type="spellStart"/>
            <w:r w:rsidR="00870761" w:rsidRPr="00D30295">
              <w:rPr>
                <w:sz w:val="24"/>
                <w:szCs w:val="24"/>
              </w:rPr>
              <w:t>Concillium</w:t>
            </w:r>
            <w:proofErr w:type="spellEnd"/>
            <w:r w:rsidR="00870761" w:rsidRPr="00D30295">
              <w:rPr>
                <w:sz w:val="24"/>
                <w:szCs w:val="24"/>
              </w:rPr>
              <w:t xml:space="preserve"> Assets LLP Business Plan</w:t>
            </w:r>
          </w:p>
          <w:p w14:paraId="3001FCB0" w14:textId="45A1A3AF" w:rsidR="00A97E03" w:rsidRPr="00D30295" w:rsidRDefault="00A97E03" w:rsidP="00870761">
            <w:pPr>
              <w:pStyle w:val="Infotext"/>
              <w:rPr>
                <w:sz w:val="24"/>
                <w:szCs w:val="24"/>
              </w:rPr>
            </w:pPr>
            <w:r w:rsidRPr="00D30295">
              <w:rPr>
                <w:sz w:val="24"/>
                <w:szCs w:val="24"/>
              </w:rPr>
              <w:t xml:space="preserve">Appendix 6 – </w:t>
            </w:r>
            <w:r w:rsidR="00870761" w:rsidRPr="00D30295">
              <w:rPr>
                <w:sz w:val="24"/>
                <w:szCs w:val="24"/>
              </w:rPr>
              <w:t xml:space="preserve">EXEMPT – </w:t>
            </w:r>
            <w:proofErr w:type="spellStart"/>
            <w:r w:rsidR="00870761" w:rsidRPr="00D30295">
              <w:rPr>
                <w:sz w:val="24"/>
                <w:szCs w:val="24"/>
              </w:rPr>
              <w:t>Sancroft</w:t>
            </w:r>
            <w:proofErr w:type="spellEnd"/>
            <w:r w:rsidR="00870761" w:rsidRPr="00D30295">
              <w:rPr>
                <w:sz w:val="24"/>
                <w:szCs w:val="24"/>
              </w:rPr>
              <w:t xml:space="preserve"> Community Care Limited Business Plan</w:t>
            </w:r>
          </w:p>
        </w:tc>
      </w:tr>
    </w:tbl>
    <w:p w14:paraId="55D9F091" w14:textId="7336E61B" w:rsidR="003C7F2F" w:rsidRPr="00D30295"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D30295" w:rsidRPr="00D30295" w14:paraId="2AD700D9" w14:textId="77777777" w:rsidTr="003C7F2F">
        <w:tc>
          <w:tcPr>
            <w:tcW w:w="9464" w:type="dxa"/>
            <w:gridSpan w:val="2"/>
            <w:tcBorders>
              <w:top w:val="nil"/>
              <w:left w:val="nil"/>
              <w:right w:val="nil"/>
            </w:tcBorders>
          </w:tcPr>
          <w:p w14:paraId="2AD70D24" w14:textId="77777777" w:rsidR="003C7F2F" w:rsidRPr="00D30295" w:rsidRDefault="003C7F2F" w:rsidP="003634DA">
            <w:pPr>
              <w:pStyle w:val="Heading1"/>
              <w:jc w:val="both"/>
            </w:pPr>
          </w:p>
          <w:p w14:paraId="1E187A46" w14:textId="77777777" w:rsidR="00FD4F48" w:rsidRPr="00D30295" w:rsidRDefault="00FD4F48" w:rsidP="003634DA">
            <w:pPr>
              <w:pStyle w:val="Heading1"/>
              <w:jc w:val="both"/>
            </w:pPr>
          </w:p>
          <w:p w14:paraId="4E6A3993" w14:textId="0EA9AB2C" w:rsidR="00333FAA" w:rsidRPr="00D30295" w:rsidRDefault="00333FAA" w:rsidP="003634DA">
            <w:pPr>
              <w:pStyle w:val="Heading1"/>
              <w:jc w:val="both"/>
            </w:pPr>
            <w:r w:rsidRPr="00D30295">
              <w:lastRenderedPageBreak/>
              <w:t>Section 1 – Summary and Recommendations</w:t>
            </w:r>
          </w:p>
          <w:p w14:paraId="5C2FA4ED" w14:textId="77777777" w:rsidR="00333FAA" w:rsidRPr="00D30295" w:rsidRDefault="00333FAA" w:rsidP="003634DA">
            <w:pPr>
              <w:jc w:val="both"/>
            </w:pPr>
          </w:p>
        </w:tc>
      </w:tr>
      <w:tr w:rsidR="00333FAA" w:rsidRPr="00B37833" w14:paraId="1FB28782" w14:textId="77777777" w:rsidTr="003C7F2F">
        <w:trPr>
          <w:gridBefore w:val="1"/>
          <w:wBefore w:w="142" w:type="dxa"/>
        </w:trPr>
        <w:tc>
          <w:tcPr>
            <w:tcW w:w="9322" w:type="dxa"/>
          </w:tcPr>
          <w:p w14:paraId="15485C20" w14:textId="60F06C04" w:rsidR="00315406" w:rsidRPr="00B37833" w:rsidRDefault="00315406" w:rsidP="003634DA">
            <w:pPr>
              <w:pStyle w:val="ListParagraph"/>
              <w:jc w:val="both"/>
              <w:rPr>
                <w:color w:val="FF0000"/>
              </w:rPr>
            </w:pPr>
          </w:p>
          <w:p w14:paraId="1403028E" w14:textId="0E20A153" w:rsidR="00F505C5" w:rsidRPr="00B37833" w:rsidRDefault="00F505C5" w:rsidP="003634DA">
            <w:pPr>
              <w:jc w:val="both"/>
              <w:rPr>
                <w:bCs/>
              </w:rPr>
            </w:pPr>
            <w:r w:rsidRPr="00B37833">
              <w:t xml:space="preserve">This report sets out the Council’s </w:t>
            </w:r>
            <w:r w:rsidR="006C5584">
              <w:t xml:space="preserve">projected </w:t>
            </w:r>
            <w:r w:rsidR="00825082" w:rsidRPr="00B37833">
              <w:t xml:space="preserve">revenue and capital outturn position for </w:t>
            </w:r>
            <w:r w:rsidR="006C5584">
              <w:t>202</w:t>
            </w:r>
            <w:r w:rsidR="00541017">
              <w:t>3-</w:t>
            </w:r>
            <w:r w:rsidR="00D46FF4">
              <w:t>24, based</w:t>
            </w:r>
            <w:r w:rsidR="00174142">
              <w:t xml:space="preserve"> on all information known </w:t>
            </w:r>
            <w:r w:rsidR="006C5584">
              <w:t>at the end of Q1</w:t>
            </w:r>
            <w:r w:rsidR="005716B1">
              <w:t xml:space="preserve"> 30</w:t>
            </w:r>
            <w:r w:rsidR="006C5584">
              <w:t xml:space="preserve"> June 202</w:t>
            </w:r>
            <w:r w:rsidR="00541017">
              <w:t>3</w:t>
            </w:r>
            <w:r w:rsidR="006C5584">
              <w:t>.</w:t>
            </w:r>
            <w:r w:rsidR="00B11849" w:rsidRPr="00B37833">
              <w:rPr>
                <w:bCs/>
              </w:rPr>
              <w:t xml:space="preserve"> </w:t>
            </w:r>
          </w:p>
          <w:p w14:paraId="5285CDA3" w14:textId="77777777" w:rsidR="00F505C5" w:rsidRPr="00B37833" w:rsidRDefault="00F505C5" w:rsidP="003634DA">
            <w:pPr>
              <w:jc w:val="both"/>
              <w:rPr>
                <w:b/>
                <w:bCs/>
                <w:u w:val="single"/>
              </w:rPr>
            </w:pPr>
          </w:p>
          <w:p w14:paraId="722ECE10" w14:textId="77777777" w:rsidR="00F505C5" w:rsidRPr="003C7F2F" w:rsidRDefault="00F505C5" w:rsidP="003634DA">
            <w:pPr>
              <w:jc w:val="both"/>
              <w:rPr>
                <w:b/>
                <w:bCs/>
                <w:sz w:val="28"/>
                <w:szCs w:val="22"/>
              </w:rPr>
            </w:pPr>
            <w:r w:rsidRPr="003C7F2F">
              <w:rPr>
                <w:b/>
                <w:bCs/>
                <w:sz w:val="28"/>
                <w:szCs w:val="22"/>
              </w:rPr>
              <w:t xml:space="preserve">Recommendations: </w:t>
            </w:r>
          </w:p>
          <w:p w14:paraId="08A43294" w14:textId="77777777" w:rsidR="00F505C5" w:rsidRPr="004052E3" w:rsidRDefault="00F505C5" w:rsidP="003634DA">
            <w:pPr>
              <w:jc w:val="both"/>
            </w:pPr>
          </w:p>
          <w:p w14:paraId="4DD0010F" w14:textId="45990C14" w:rsidR="00E81EEA" w:rsidRPr="004052E3" w:rsidRDefault="00F505C5" w:rsidP="00AF06B3">
            <w:pPr>
              <w:numPr>
                <w:ilvl w:val="0"/>
                <w:numId w:val="3"/>
              </w:numPr>
              <w:jc w:val="both"/>
            </w:pPr>
            <w:r w:rsidRPr="004052E3">
              <w:t xml:space="preserve">That Cabinet notes the revenue and capital </w:t>
            </w:r>
            <w:r w:rsidR="00825082" w:rsidRPr="004052E3">
              <w:t>outturn</w:t>
            </w:r>
            <w:r w:rsidRPr="004052E3">
              <w:t xml:space="preserve"> positions set out </w:t>
            </w:r>
            <w:r w:rsidR="00517C7D" w:rsidRPr="004052E3">
              <w:t>in</w:t>
            </w:r>
            <w:r w:rsidRPr="004052E3">
              <w:t xml:space="preserve"> paragraph</w:t>
            </w:r>
            <w:r w:rsidR="00517C7D" w:rsidRPr="004052E3">
              <w:t>s</w:t>
            </w:r>
            <w:r w:rsidR="0008678F" w:rsidRPr="004052E3">
              <w:t xml:space="preserve"> 1.</w:t>
            </w:r>
            <w:r w:rsidR="00E82957" w:rsidRPr="004052E3">
              <w:t>2</w:t>
            </w:r>
            <w:r w:rsidR="00CF1E61" w:rsidRPr="004052E3">
              <w:t xml:space="preserve"> </w:t>
            </w:r>
            <w:r w:rsidR="004052E3" w:rsidRPr="004052E3">
              <w:t>to 1.4</w:t>
            </w:r>
            <w:r w:rsidR="000860A6" w:rsidRPr="004052E3">
              <w:t>.</w:t>
            </w:r>
          </w:p>
          <w:p w14:paraId="2F90CFE3" w14:textId="77777777" w:rsidR="00E81EEA" w:rsidRPr="006C5584" w:rsidRDefault="00E81EEA" w:rsidP="00E81EEA">
            <w:pPr>
              <w:ind w:left="720"/>
              <w:jc w:val="both"/>
              <w:rPr>
                <w:color w:val="FF0000"/>
              </w:rPr>
            </w:pPr>
          </w:p>
          <w:p w14:paraId="63736D29" w14:textId="44F8A748" w:rsidR="00541017" w:rsidRDefault="00541017" w:rsidP="00AF06B3">
            <w:pPr>
              <w:numPr>
                <w:ilvl w:val="0"/>
                <w:numId w:val="3"/>
              </w:numPr>
              <w:jc w:val="both"/>
            </w:pPr>
            <w:r>
              <w:t xml:space="preserve">That Cabinet approve the proposed additions and amendments to the Capital Programme as set out in </w:t>
            </w:r>
            <w:r w:rsidRPr="00FD4F48">
              <w:t xml:space="preserve">paragraphs </w:t>
            </w:r>
            <w:r w:rsidR="004620D4" w:rsidRPr="00FD4F48">
              <w:t>3.28 to 3.3</w:t>
            </w:r>
            <w:r w:rsidR="00FC57FC">
              <w:t>2</w:t>
            </w:r>
          </w:p>
          <w:p w14:paraId="5E2FB794" w14:textId="77777777" w:rsidR="00541017" w:rsidRDefault="00541017" w:rsidP="00541017">
            <w:pPr>
              <w:pStyle w:val="ListParagraph"/>
            </w:pPr>
          </w:p>
          <w:p w14:paraId="6B1F0064" w14:textId="613BB10A" w:rsidR="009B2C8F" w:rsidRPr="00541017" w:rsidRDefault="000D66AA" w:rsidP="00AF06B3">
            <w:pPr>
              <w:numPr>
                <w:ilvl w:val="0"/>
                <w:numId w:val="3"/>
              </w:numPr>
              <w:jc w:val="both"/>
            </w:pPr>
            <w:r w:rsidRPr="0081366B">
              <w:t xml:space="preserve">That Cabinet note </w:t>
            </w:r>
            <w:r w:rsidR="00825082" w:rsidRPr="0081366B">
              <w:t>the</w:t>
            </w:r>
            <w:r w:rsidRPr="0081366B">
              <w:t xml:space="preserve"> Council’s Trading Update </w:t>
            </w:r>
            <w:r w:rsidRPr="00FC57FC">
              <w:t xml:space="preserve">as detailed in Appendix </w:t>
            </w:r>
            <w:r w:rsidR="001B7300" w:rsidRPr="00FC57FC">
              <w:t>4</w:t>
            </w:r>
            <w:r w:rsidRPr="00FC57FC">
              <w:t>.</w:t>
            </w:r>
          </w:p>
          <w:p w14:paraId="642A5A89" w14:textId="77777777" w:rsidR="00541017" w:rsidRPr="00D30295" w:rsidRDefault="00541017" w:rsidP="00541017">
            <w:pPr>
              <w:pStyle w:val="ListParagraph"/>
            </w:pPr>
          </w:p>
          <w:p w14:paraId="1BC4602A" w14:textId="66F787AD" w:rsidR="00870761" w:rsidRPr="00D30295" w:rsidRDefault="00870761" w:rsidP="00AF06B3">
            <w:pPr>
              <w:numPr>
                <w:ilvl w:val="0"/>
                <w:numId w:val="3"/>
              </w:numPr>
              <w:jc w:val="both"/>
            </w:pPr>
            <w:r w:rsidRPr="00D30295">
              <w:t xml:space="preserve">That Cabinet approves </w:t>
            </w:r>
            <w:proofErr w:type="spellStart"/>
            <w:r w:rsidRPr="00D30295">
              <w:t>Concillium</w:t>
            </w:r>
            <w:proofErr w:type="spellEnd"/>
            <w:r w:rsidRPr="00D30295">
              <w:t xml:space="preserve"> Assets LLP Business Plan as detailed at </w:t>
            </w:r>
            <w:r w:rsidR="004A03B6">
              <w:t xml:space="preserve">confidential </w:t>
            </w:r>
            <w:r w:rsidRPr="00D30295">
              <w:t>Appendix 5</w:t>
            </w:r>
            <w:r w:rsidR="004A03B6">
              <w:t>.</w:t>
            </w:r>
          </w:p>
          <w:p w14:paraId="57A9DD3C" w14:textId="77777777" w:rsidR="00870761" w:rsidRPr="00D30295" w:rsidRDefault="00870761" w:rsidP="00870761">
            <w:pPr>
              <w:pStyle w:val="ListParagraph"/>
            </w:pPr>
          </w:p>
          <w:p w14:paraId="650AA35F" w14:textId="2CA5E660" w:rsidR="00541017" w:rsidRPr="00D30295" w:rsidRDefault="00541017" w:rsidP="00AF06B3">
            <w:pPr>
              <w:numPr>
                <w:ilvl w:val="0"/>
                <w:numId w:val="3"/>
              </w:numPr>
              <w:jc w:val="both"/>
            </w:pPr>
            <w:r w:rsidRPr="00D30295">
              <w:t xml:space="preserve">That Cabinet approves the </w:t>
            </w:r>
            <w:proofErr w:type="spellStart"/>
            <w:r w:rsidR="00870761" w:rsidRPr="00D30295">
              <w:t>Sancroft</w:t>
            </w:r>
            <w:proofErr w:type="spellEnd"/>
            <w:r w:rsidR="00870761" w:rsidRPr="00D30295">
              <w:t xml:space="preserve"> Community Care Limited’s Business Plan as detailed at </w:t>
            </w:r>
            <w:r w:rsidR="004A03B6">
              <w:t xml:space="preserve">confidential </w:t>
            </w:r>
            <w:r w:rsidR="00870761" w:rsidRPr="00D30295">
              <w:t>Appendix 6</w:t>
            </w:r>
            <w:r w:rsidR="004A03B6">
              <w:t>.</w:t>
            </w:r>
            <w:r w:rsidR="00870761" w:rsidRPr="00D30295">
              <w:t xml:space="preserve"> </w:t>
            </w:r>
          </w:p>
          <w:p w14:paraId="33048BAE" w14:textId="77777777" w:rsidR="00B37833" w:rsidRDefault="00B37833" w:rsidP="00B37833">
            <w:pPr>
              <w:pStyle w:val="ListParagraph"/>
              <w:rPr>
                <w:color w:val="FF0000"/>
              </w:rPr>
            </w:pPr>
          </w:p>
          <w:p w14:paraId="2C813DBD" w14:textId="7B1C7BDB" w:rsidR="005641E0" w:rsidRPr="003C7F2F" w:rsidRDefault="001C7E35" w:rsidP="003634DA">
            <w:pPr>
              <w:pStyle w:val="Heading2"/>
              <w:jc w:val="both"/>
            </w:pPr>
            <w:r w:rsidRPr="003C7F2F">
              <w:t>Reason</w:t>
            </w:r>
            <w:r w:rsidR="00D46FF4" w:rsidRPr="003C7F2F">
              <w:t>: (</w:t>
            </w:r>
            <w:r w:rsidRPr="003C7F2F">
              <w:t>For recommendation</w:t>
            </w:r>
            <w:r w:rsidR="00714BEE" w:rsidRPr="003C7F2F">
              <w:t>s</w:t>
            </w:r>
            <w:r w:rsidRPr="003C7F2F">
              <w:t>)</w:t>
            </w:r>
            <w:r w:rsidR="00312B7A" w:rsidRPr="003C7F2F">
              <w:t xml:space="preserve"> </w:t>
            </w:r>
          </w:p>
          <w:p w14:paraId="752A3DF8" w14:textId="4937CEF9" w:rsidR="00F505C5" w:rsidRPr="00B37833" w:rsidRDefault="00F505C5" w:rsidP="003634DA">
            <w:pPr>
              <w:jc w:val="both"/>
            </w:pPr>
            <w:r w:rsidRPr="00B37833">
              <w:t xml:space="preserve">To report the </w:t>
            </w:r>
            <w:r w:rsidR="006C5584">
              <w:t>202</w:t>
            </w:r>
            <w:r w:rsidR="00541017">
              <w:t>3-24</w:t>
            </w:r>
            <w:r w:rsidRPr="00B37833">
              <w:t xml:space="preserve"> financial </w:t>
            </w:r>
            <w:r w:rsidR="006C5584">
              <w:t xml:space="preserve">forecast </w:t>
            </w:r>
            <w:r w:rsidRPr="00B37833">
              <w:t>position</w:t>
            </w:r>
            <w:r w:rsidR="006C5584">
              <w:t xml:space="preserve"> at Q1</w:t>
            </w:r>
            <w:r w:rsidR="00825082" w:rsidRPr="00B37833">
              <w:t xml:space="preserve"> and </w:t>
            </w:r>
            <w:r w:rsidR="00381A1C" w:rsidRPr="00B37833">
              <w:t xml:space="preserve">to update Cabinet on </w:t>
            </w:r>
            <w:r w:rsidR="00070FDB" w:rsidRPr="00B37833">
              <w:t>t</w:t>
            </w:r>
            <w:r w:rsidR="00381A1C" w:rsidRPr="00B37833">
              <w:t xml:space="preserve">rading </w:t>
            </w:r>
            <w:r w:rsidR="00D71F49" w:rsidRPr="00B37833">
              <w:t xml:space="preserve">company </w:t>
            </w:r>
            <w:r w:rsidR="00381A1C" w:rsidRPr="00B37833">
              <w:t>performance</w:t>
            </w:r>
            <w:r w:rsidR="00825082" w:rsidRPr="00B37833">
              <w:t>.</w:t>
            </w:r>
          </w:p>
          <w:p w14:paraId="1D534CB5" w14:textId="77777777" w:rsidR="00333FAA" w:rsidRPr="00B37833" w:rsidRDefault="00333FAA" w:rsidP="003634DA">
            <w:pPr>
              <w:pStyle w:val="Heading2"/>
              <w:jc w:val="both"/>
              <w:rPr>
                <w:color w:val="FF0000"/>
              </w:rPr>
            </w:pPr>
          </w:p>
        </w:tc>
      </w:tr>
    </w:tbl>
    <w:p w14:paraId="1F2B0944" w14:textId="77777777" w:rsidR="008940FC" w:rsidRPr="00B37833" w:rsidRDefault="008940FC" w:rsidP="003634DA">
      <w:pPr>
        <w:pStyle w:val="Heading1"/>
        <w:jc w:val="both"/>
        <w:rPr>
          <w:color w:val="FF0000"/>
        </w:rPr>
      </w:pPr>
    </w:p>
    <w:p w14:paraId="3C326E6C" w14:textId="77777777" w:rsidR="00333FAA" w:rsidRPr="008F0A9D" w:rsidRDefault="00333FAA" w:rsidP="003634DA">
      <w:pPr>
        <w:pStyle w:val="Heading1"/>
        <w:jc w:val="both"/>
      </w:pPr>
      <w:r w:rsidRPr="008F0A9D">
        <w:t>Section 2 – Report</w:t>
      </w:r>
    </w:p>
    <w:p w14:paraId="75C2F062" w14:textId="77777777" w:rsidR="005641E0" w:rsidRPr="008F0A9D" w:rsidRDefault="005641E0" w:rsidP="00DB648D">
      <w:pPr>
        <w:jc w:val="both"/>
        <w:rPr>
          <w:rFonts w:cs="Arial"/>
          <w:szCs w:val="24"/>
        </w:rPr>
      </w:pPr>
    </w:p>
    <w:p w14:paraId="528CE6EC" w14:textId="77777777" w:rsidR="005641E0" w:rsidRPr="008F0A9D" w:rsidRDefault="006739F8" w:rsidP="00C75F94">
      <w:pPr>
        <w:numPr>
          <w:ilvl w:val="0"/>
          <w:numId w:val="1"/>
        </w:numPr>
        <w:tabs>
          <w:tab w:val="left" w:pos="0"/>
        </w:tabs>
        <w:ind w:left="567" w:hanging="567"/>
        <w:jc w:val="both"/>
        <w:rPr>
          <w:rFonts w:cs="Arial"/>
          <w:b/>
          <w:bCs/>
          <w:szCs w:val="24"/>
          <w:u w:val="single"/>
        </w:rPr>
      </w:pPr>
      <w:r w:rsidRPr="008F0A9D">
        <w:rPr>
          <w:rFonts w:cs="Arial"/>
          <w:b/>
          <w:bCs/>
          <w:szCs w:val="24"/>
          <w:u w:val="single"/>
        </w:rPr>
        <w:t>INTRODUCTION</w:t>
      </w:r>
    </w:p>
    <w:p w14:paraId="59CC7CC4" w14:textId="77777777" w:rsidR="003E2127" w:rsidRPr="008F0A9D" w:rsidRDefault="003E2127" w:rsidP="003634DA">
      <w:pPr>
        <w:ind w:left="567"/>
        <w:jc w:val="both"/>
        <w:rPr>
          <w:rFonts w:cs="Arial"/>
          <w:b/>
          <w:bCs/>
          <w:szCs w:val="24"/>
          <w:u w:val="single"/>
        </w:rPr>
      </w:pPr>
    </w:p>
    <w:p w14:paraId="4E7D25AD" w14:textId="7C93C015" w:rsidR="00513EC1" w:rsidRPr="008F0A9D" w:rsidRDefault="00513EC1" w:rsidP="00825082">
      <w:pPr>
        <w:pStyle w:val="ListParagraph"/>
        <w:numPr>
          <w:ilvl w:val="0"/>
          <w:numId w:val="1"/>
        </w:numPr>
        <w:ind w:left="567" w:hanging="567"/>
        <w:contextualSpacing/>
        <w:jc w:val="both"/>
        <w:rPr>
          <w:rFonts w:cs="Arial"/>
          <w:szCs w:val="24"/>
        </w:rPr>
      </w:pPr>
      <w:r w:rsidRPr="008F0A9D">
        <w:rPr>
          <w:rFonts w:cs="Arial"/>
          <w:szCs w:val="24"/>
        </w:rPr>
        <w:t xml:space="preserve">This is the </w:t>
      </w:r>
      <w:r w:rsidR="006C5584" w:rsidRPr="008F0A9D">
        <w:rPr>
          <w:rFonts w:cs="Arial"/>
          <w:szCs w:val="24"/>
        </w:rPr>
        <w:t>first</w:t>
      </w:r>
      <w:r w:rsidR="00825082" w:rsidRPr="008F0A9D">
        <w:rPr>
          <w:rFonts w:cs="Arial"/>
          <w:szCs w:val="24"/>
        </w:rPr>
        <w:t xml:space="preserve"> budget </w:t>
      </w:r>
      <w:r w:rsidR="004325F9" w:rsidRPr="008F0A9D">
        <w:rPr>
          <w:rFonts w:cs="Arial"/>
          <w:szCs w:val="24"/>
        </w:rPr>
        <w:t>monitoring</w:t>
      </w:r>
      <w:r w:rsidRPr="008F0A9D">
        <w:rPr>
          <w:rFonts w:cs="Arial"/>
          <w:szCs w:val="24"/>
        </w:rPr>
        <w:t xml:space="preserve"> report for </w:t>
      </w:r>
      <w:r w:rsidR="00541017" w:rsidRPr="008F0A9D">
        <w:rPr>
          <w:rFonts w:cs="Arial"/>
          <w:szCs w:val="24"/>
        </w:rPr>
        <w:t>2023-24</w:t>
      </w:r>
      <w:r w:rsidRPr="008F0A9D">
        <w:rPr>
          <w:rFonts w:cs="Arial"/>
          <w:szCs w:val="24"/>
        </w:rPr>
        <w:t xml:space="preserve">.  </w:t>
      </w:r>
    </w:p>
    <w:p w14:paraId="16E3B1D3" w14:textId="77777777" w:rsidR="00825082" w:rsidRPr="008F0A9D" w:rsidRDefault="00825082" w:rsidP="00825082">
      <w:pPr>
        <w:contextualSpacing/>
        <w:jc w:val="both"/>
        <w:rPr>
          <w:rFonts w:cs="Arial"/>
          <w:szCs w:val="24"/>
        </w:rPr>
      </w:pPr>
    </w:p>
    <w:p w14:paraId="387D2BF5" w14:textId="67E1AC63" w:rsidR="003B40B3" w:rsidRPr="008F0A9D" w:rsidRDefault="006C5584" w:rsidP="009F36F3">
      <w:pPr>
        <w:pStyle w:val="ListParagraph"/>
        <w:numPr>
          <w:ilvl w:val="0"/>
          <w:numId w:val="1"/>
        </w:numPr>
        <w:ind w:left="567" w:hanging="567"/>
        <w:contextualSpacing/>
        <w:jc w:val="both"/>
        <w:rPr>
          <w:rFonts w:cs="Arial"/>
          <w:szCs w:val="24"/>
        </w:rPr>
      </w:pPr>
      <w:r w:rsidRPr="008F0A9D">
        <w:rPr>
          <w:rFonts w:cs="Arial"/>
          <w:szCs w:val="24"/>
        </w:rPr>
        <w:t xml:space="preserve">The revenue budget in </w:t>
      </w:r>
      <w:r w:rsidR="004D43AF" w:rsidRPr="008F0A9D">
        <w:rPr>
          <w:rFonts w:cs="Arial"/>
          <w:szCs w:val="24"/>
        </w:rPr>
        <w:t>2023-24</w:t>
      </w:r>
      <w:r w:rsidRPr="008F0A9D">
        <w:rPr>
          <w:rFonts w:cs="Arial"/>
          <w:szCs w:val="24"/>
        </w:rPr>
        <w:t xml:space="preserve"> at Q1 is £</w:t>
      </w:r>
      <w:r w:rsidR="004D43AF" w:rsidRPr="008F0A9D">
        <w:rPr>
          <w:rFonts w:cs="Arial"/>
          <w:szCs w:val="24"/>
        </w:rPr>
        <w:t>196.354m</w:t>
      </w:r>
      <w:r w:rsidRPr="008F0A9D">
        <w:rPr>
          <w:rFonts w:cs="Arial"/>
          <w:szCs w:val="24"/>
        </w:rPr>
        <w:t xml:space="preserve"> which is net of </w:t>
      </w:r>
      <w:r w:rsidR="00E42721" w:rsidRPr="008F0A9D">
        <w:rPr>
          <w:rFonts w:cs="Arial"/>
          <w:szCs w:val="24"/>
        </w:rPr>
        <w:t>external grants</w:t>
      </w:r>
      <w:r w:rsidRPr="008F0A9D">
        <w:rPr>
          <w:rFonts w:cs="Arial"/>
          <w:szCs w:val="24"/>
        </w:rPr>
        <w:t xml:space="preserve">. A list of external grants is shown at Appendix 1. </w:t>
      </w:r>
      <w:r w:rsidR="00A50427" w:rsidRPr="008F0A9D">
        <w:rPr>
          <w:rFonts w:cs="Arial"/>
          <w:szCs w:val="24"/>
        </w:rPr>
        <w:t xml:space="preserve">The </w:t>
      </w:r>
      <w:r w:rsidRPr="008F0A9D">
        <w:rPr>
          <w:rFonts w:cs="Arial"/>
          <w:szCs w:val="24"/>
        </w:rPr>
        <w:t xml:space="preserve">net forecast position on the </w:t>
      </w:r>
      <w:r w:rsidR="00825082" w:rsidRPr="008F0A9D">
        <w:rPr>
          <w:rFonts w:cs="Arial"/>
          <w:szCs w:val="24"/>
        </w:rPr>
        <w:t xml:space="preserve">revenue budget for </w:t>
      </w:r>
      <w:r w:rsidR="004D43AF" w:rsidRPr="008F0A9D">
        <w:rPr>
          <w:rFonts w:cs="Arial"/>
          <w:szCs w:val="24"/>
        </w:rPr>
        <w:t>2023-24</w:t>
      </w:r>
      <w:r w:rsidR="00AE7033" w:rsidRPr="008F0A9D">
        <w:rPr>
          <w:rFonts w:cs="Arial"/>
          <w:szCs w:val="24"/>
        </w:rPr>
        <w:t xml:space="preserve">, </w:t>
      </w:r>
      <w:r w:rsidR="00A50427" w:rsidRPr="008F0A9D">
        <w:rPr>
          <w:rFonts w:cs="Arial"/>
          <w:szCs w:val="24"/>
        </w:rPr>
        <w:t>after the planned use of reserves</w:t>
      </w:r>
      <w:r w:rsidR="004D43AF" w:rsidRPr="008F0A9D">
        <w:rPr>
          <w:rFonts w:cs="Arial"/>
          <w:szCs w:val="24"/>
        </w:rPr>
        <w:t>,</w:t>
      </w:r>
      <w:r w:rsidR="00825082" w:rsidRPr="008F0A9D">
        <w:rPr>
          <w:rFonts w:cs="Arial"/>
          <w:szCs w:val="24"/>
        </w:rPr>
        <w:t xml:space="preserve"> is </w:t>
      </w:r>
      <w:r w:rsidR="00E971A9" w:rsidRPr="008F0A9D">
        <w:rPr>
          <w:rFonts w:cs="Arial"/>
          <w:szCs w:val="24"/>
        </w:rPr>
        <w:t>a net overspend of £</w:t>
      </w:r>
      <w:r w:rsidR="004D43AF" w:rsidRPr="008F0A9D">
        <w:rPr>
          <w:rFonts w:cs="Arial"/>
          <w:szCs w:val="24"/>
        </w:rPr>
        <w:t>2.350</w:t>
      </w:r>
      <w:r w:rsidR="00E971A9" w:rsidRPr="008F0A9D">
        <w:rPr>
          <w:rFonts w:cs="Arial"/>
          <w:szCs w:val="24"/>
        </w:rPr>
        <w:t>m.</w:t>
      </w:r>
      <w:r w:rsidR="00174142" w:rsidRPr="008F0A9D">
        <w:rPr>
          <w:rFonts w:cs="Arial"/>
          <w:szCs w:val="24"/>
        </w:rPr>
        <w:t xml:space="preserve"> </w:t>
      </w:r>
      <w:r w:rsidR="00A02570" w:rsidRPr="008F0A9D">
        <w:rPr>
          <w:rFonts w:cs="Arial"/>
          <w:szCs w:val="24"/>
        </w:rPr>
        <w:t xml:space="preserve">This </w:t>
      </w:r>
      <w:r w:rsidR="00F069B1" w:rsidRPr="008F0A9D">
        <w:rPr>
          <w:rFonts w:cs="Arial"/>
          <w:szCs w:val="24"/>
        </w:rPr>
        <w:t xml:space="preserve">sum </w:t>
      </w:r>
      <w:r w:rsidR="00A02570" w:rsidRPr="008F0A9D">
        <w:rPr>
          <w:rFonts w:cs="Arial"/>
          <w:szCs w:val="24"/>
        </w:rPr>
        <w:t xml:space="preserve">will </w:t>
      </w:r>
      <w:r w:rsidR="00F069B1" w:rsidRPr="008F0A9D">
        <w:rPr>
          <w:rFonts w:cs="Arial"/>
          <w:szCs w:val="24"/>
        </w:rPr>
        <w:t xml:space="preserve">need to </w:t>
      </w:r>
      <w:r w:rsidR="00A02570" w:rsidRPr="008F0A9D">
        <w:rPr>
          <w:rFonts w:cs="Arial"/>
          <w:szCs w:val="24"/>
        </w:rPr>
        <w:t xml:space="preserve">be drawn down from the budget planning reserve if it is not </w:t>
      </w:r>
      <w:proofErr w:type="spellStart"/>
      <w:r w:rsidR="00A02570" w:rsidRPr="008F0A9D">
        <w:rPr>
          <w:rFonts w:cs="Arial"/>
          <w:szCs w:val="24"/>
        </w:rPr>
        <w:t>mitiagated</w:t>
      </w:r>
      <w:proofErr w:type="spellEnd"/>
      <w:r w:rsidR="00A02570" w:rsidRPr="008F0A9D">
        <w:rPr>
          <w:rFonts w:cs="Arial"/>
          <w:szCs w:val="24"/>
        </w:rPr>
        <w:t xml:space="preserve"> by year end.</w:t>
      </w:r>
    </w:p>
    <w:p w14:paraId="350C2E92" w14:textId="77777777" w:rsidR="003B40B3" w:rsidRPr="008F0A9D" w:rsidRDefault="003B40B3" w:rsidP="003B40B3">
      <w:pPr>
        <w:pStyle w:val="ListParagraph"/>
        <w:rPr>
          <w:rFonts w:cs="Arial"/>
          <w:bCs/>
          <w:color w:val="FF0000"/>
          <w:szCs w:val="24"/>
        </w:rPr>
      </w:pPr>
    </w:p>
    <w:p w14:paraId="3EFFD8B5" w14:textId="12D615D0" w:rsidR="003B40B3" w:rsidRPr="00111C32" w:rsidRDefault="003B40B3" w:rsidP="00BC796C">
      <w:pPr>
        <w:pStyle w:val="ListParagraph"/>
        <w:numPr>
          <w:ilvl w:val="0"/>
          <w:numId w:val="1"/>
        </w:numPr>
        <w:ind w:left="567" w:hanging="567"/>
        <w:contextualSpacing/>
        <w:jc w:val="both"/>
        <w:rPr>
          <w:rFonts w:cs="Arial"/>
          <w:bCs/>
          <w:szCs w:val="24"/>
        </w:rPr>
      </w:pPr>
      <w:r w:rsidRPr="008F0A9D">
        <w:rPr>
          <w:rFonts w:cs="Arial"/>
          <w:bCs/>
          <w:szCs w:val="24"/>
        </w:rPr>
        <w:t xml:space="preserve">The </w:t>
      </w:r>
      <w:r w:rsidR="006C5584" w:rsidRPr="008F0A9D">
        <w:rPr>
          <w:rFonts w:cs="Arial"/>
          <w:bCs/>
          <w:szCs w:val="24"/>
        </w:rPr>
        <w:t xml:space="preserve">general fund capital programme budget in </w:t>
      </w:r>
      <w:r w:rsidR="00111C32" w:rsidRPr="008F0A9D">
        <w:rPr>
          <w:rFonts w:cs="Arial"/>
          <w:bCs/>
          <w:szCs w:val="24"/>
        </w:rPr>
        <w:t>2023-24</w:t>
      </w:r>
      <w:r w:rsidR="006C5584" w:rsidRPr="008F0A9D">
        <w:rPr>
          <w:rFonts w:cs="Arial"/>
          <w:bCs/>
          <w:szCs w:val="24"/>
        </w:rPr>
        <w:t xml:space="preserve"> is £</w:t>
      </w:r>
      <w:r w:rsidR="00957EA1" w:rsidRPr="008F0A9D">
        <w:rPr>
          <w:rFonts w:cs="Arial"/>
          <w:bCs/>
          <w:szCs w:val="24"/>
        </w:rPr>
        <w:t>10</w:t>
      </w:r>
      <w:r w:rsidR="00111C32" w:rsidRPr="008F0A9D">
        <w:rPr>
          <w:rFonts w:cs="Arial"/>
          <w:bCs/>
          <w:szCs w:val="24"/>
        </w:rPr>
        <w:t>2.634</w:t>
      </w:r>
      <w:r w:rsidR="00957EA1" w:rsidRPr="008F0A9D">
        <w:rPr>
          <w:rFonts w:cs="Arial"/>
          <w:bCs/>
          <w:szCs w:val="24"/>
        </w:rPr>
        <w:t>m.</w:t>
      </w:r>
      <w:r w:rsidR="006C5584" w:rsidRPr="008F0A9D">
        <w:rPr>
          <w:rFonts w:cs="Arial"/>
          <w:bCs/>
          <w:szCs w:val="24"/>
        </w:rPr>
        <w:t xml:space="preserve"> The net forecast position on the capital budget at Q1 is £</w:t>
      </w:r>
      <w:r w:rsidR="00111C32" w:rsidRPr="008F0A9D">
        <w:rPr>
          <w:rFonts w:cs="Arial"/>
          <w:bCs/>
          <w:szCs w:val="24"/>
        </w:rPr>
        <w:t>76.155m</w:t>
      </w:r>
      <w:r w:rsidR="006C5584" w:rsidRPr="008F0A9D">
        <w:rPr>
          <w:rFonts w:cs="Arial"/>
          <w:bCs/>
          <w:szCs w:val="24"/>
        </w:rPr>
        <w:t xml:space="preserve"> which represents </w:t>
      </w:r>
      <w:r w:rsidR="00111C32" w:rsidRPr="008F0A9D">
        <w:rPr>
          <w:rFonts w:cs="Arial"/>
          <w:bCs/>
          <w:szCs w:val="24"/>
        </w:rPr>
        <w:t>74</w:t>
      </w:r>
      <w:r w:rsidR="006C5584" w:rsidRPr="008F0A9D">
        <w:rPr>
          <w:rFonts w:cs="Arial"/>
          <w:bCs/>
          <w:szCs w:val="24"/>
        </w:rPr>
        <w:t>% of the total capital programme budget. The variance</w:t>
      </w:r>
      <w:r w:rsidR="006C5584" w:rsidRPr="00111C32">
        <w:rPr>
          <w:rFonts w:cs="Arial"/>
          <w:bCs/>
          <w:szCs w:val="24"/>
        </w:rPr>
        <w:t xml:space="preserve"> of £</w:t>
      </w:r>
      <w:r w:rsidR="00111C32" w:rsidRPr="00111C32">
        <w:rPr>
          <w:rFonts w:cs="Arial"/>
          <w:bCs/>
          <w:szCs w:val="24"/>
        </w:rPr>
        <w:t xml:space="preserve">26.478m </w:t>
      </w:r>
      <w:r w:rsidR="006C5584" w:rsidRPr="00111C32">
        <w:rPr>
          <w:rFonts w:cs="Arial"/>
          <w:bCs/>
          <w:szCs w:val="24"/>
        </w:rPr>
        <w:t>is made up of proposed slippage of £</w:t>
      </w:r>
      <w:r w:rsidR="00111C32" w:rsidRPr="00111C32">
        <w:rPr>
          <w:rFonts w:cs="Arial"/>
          <w:bCs/>
          <w:szCs w:val="24"/>
        </w:rPr>
        <w:t>26.415m</w:t>
      </w:r>
      <w:r w:rsidR="006C5584" w:rsidRPr="00111C32">
        <w:rPr>
          <w:rFonts w:cs="Arial"/>
          <w:bCs/>
          <w:szCs w:val="24"/>
        </w:rPr>
        <w:t xml:space="preserve"> and an underspend of £</w:t>
      </w:r>
      <w:r w:rsidR="00111C32" w:rsidRPr="00111C32">
        <w:rPr>
          <w:rFonts w:cs="Arial"/>
          <w:bCs/>
          <w:szCs w:val="24"/>
        </w:rPr>
        <w:t>63k</w:t>
      </w:r>
      <w:r w:rsidR="006C5584" w:rsidRPr="00111C32">
        <w:rPr>
          <w:rFonts w:cs="Arial"/>
          <w:bCs/>
          <w:szCs w:val="24"/>
        </w:rPr>
        <w:t>.</w:t>
      </w:r>
    </w:p>
    <w:p w14:paraId="0F3275F6" w14:textId="77777777" w:rsidR="006C5584" w:rsidRPr="00541017" w:rsidRDefault="006C5584" w:rsidP="006C5584">
      <w:pPr>
        <w:contextualSpacing/>
        <w:jc w:val="both"/>
        <w:rPr>
          <w:rFonts w:cs="Arial"/>
          <w:bCs/>
          <w:color w:val="FF0000"/>
          <w:szCs w:val="24"/>
        </w:rPr>
      </w:pPr>
    </w:p>
    <w:p w14:paraId="5349444F" w14:textId="52586718" w:rsidR="003B40B3" w:rsidRPr="006C2716" w:rsidRDefault="006C5584" w:rsidP="003B40B3">
      <w:pPr>
        <w:pStyle w:val="ListParagraph"/>
        <w:numPr>
          <w:ilvl w:val="0"/>
          <w:numId w:val="1"/>
        </w:numPr>
        <w:ind w:left="567" w:hanging="567"/>
        <w:contextualSpacing/>
        <w:jc w:val="both"/>
        <w:rPr>
          <w:rFonts w:cs="Arial"/>
          <w:szCs w:val="24"/>
        </w:rPr>
      </w:pPr>
      <w:r w:rsidRPr="00111C32">
        <w:rPr>
          <w:rFonts w:cs="Arial"/>
          <w:bCs/>
          <w:szCs w:val="24"/>
        </w:rPr>
        <w:t>The Housing Revenue Account (HRA) capital programme budget is £</w:t>
      </w:r>
      <w:r w:rsidR="00957EA1" w:rsidRPr="00111C32">
        <w:rPr>
          <w:rFonts w:cs="Arial"/>
          <w:bCs/>
          <w:szCs w:val="24"/>
        </w:rPr>
        <w:t>5</w:t>
      </w:r>
      <w:r w:rsidR="00111C32" w:rsidRPr="00111C32">
        <w:rPr>
          <w:rFonts w:cs="Arial"/>
          <w:bCs/>
          <w:szCs w:val="24"/>
        </w:rPr>
        <w:t>5.757m</w:t>
      </w:r>
      <w:r w:rsidRPr="00111C32">
        <w:rPr>
          <w:rFonts w:cs="Arial"/>
          <w:bCs/>
          <w:szCs w:val="24"/>
        </w:rPr>
        <w:t>. The net forecast position on the HRA capital budget at Q1 is £</w:t>
      </w:r>
      <w:r w:rsidR="00111C32" w:rsidRPr="00111C32">
        <w:rPr>
          <w:rFonts w:cs="Arial"/>
          <w:bCs/>
          <w:szCs w:val="24"/>
        </w:rPr>
        <w:t>51.661</w:t>
      </w:r>
      <w:r w:rsidR="00957EA1" w:rsidRPr="00111C32">
        <w:rPr>
          <w:rFonts w:cs="Arial"/>
          <w:bCs/>
          <w:szCs w:val="24"/>
        </w:rPr>
        <w:t xml:space="preserve">m </w:t>
      </w:r>
      <w:r w:rsidRPr="00111C32">
        <w:rPr>
          <w:rFonts w:cs="Arial"/>
          <w:bCs/>
          <w:szCs w:val="24"/>
        </w:rPr>
        <w:t xml:space="preserve">which </w:t>
      </w:r>
      <w:r w:rsidRPr="00111C32">
        <w:rPr>
          <w:rFonts w:cs="Arial"/>
          <w:bCs/>
          <w:szCs w:val="24"/>
        </w:rPr>
        <w:lastRenderedPageBreak/>
        <w:t xml:space="preserve">represents </w:t>
      </w:r>
      <w:r w:rsidR="00111C32" w:rsidRPr="00111C32">
        <w:rPr>
          <w:rFonts w:cs="Arial"/>
          <w:bCs/>
          <w:szCs w:val="24"/>
        </w:rPr>
        <w:t>93</w:t>
      </w:r>
      <w:r w:rsidRPr="00111C32">
        <w:rPr>
          <w:rFonts w:cs="Arial"/>
          <w:bCs/>
          <w:szCs w:val="24"/>
        </w:rPr>
        <w:t xml:space="preserve">% of the total HRA capital </w:t>
      </w:r>
      <w:r w:rsidR="00751C64" w:rsidRPr="00111C32">
        <w:rPr>
          <w:rFonts w:cs="Arial"/>
          <w:bCs/>
          <w:szCs w:val="24"/>
        </w:rPr>
        <w:t>programme</w:t>
      </w:r>
      <w:r w:rsidRPr="00111C32">
        <w:rPr>
          <w:rFonts w:cs="Arial"/>
          <w:bCs/>
          <w:szCs w:val="24"/>
        </w:rPr>
        <w:t xml:space="preserve"> budget. The variance of £</w:t>
      </w:r>
      <w:r w:rsidR="00111C32" w:rsidRPr="00111C32">
        <w:rPr>
          <w:rFonts w:cs="Arial"/>
          <w:bCs/>
          <w:szCs w:val="24"/>
        </w:rPr>
        <w:t>4.096</w:t>
      </w:r>
      <w:r w:rsidR="00957EA1" w:rsidRPr="00111C32">
        <w:rPr>
          <w:rFonts w:cs="Arial"/>
          <w:bCs/>
          <w:szCs w:val="24"/>
        </w:rPr>
        <w:t>m</w:t>
      </w:r>
      <w:r w:rsidRPr="00111C32">
        <w:rPr>
          <w:rFonts w:cs="Arial"/>
          <w:bCs/>
          <w:szCs w:val="24"/>
        </w:rPr>
        <w:t xml:space="preserve"> is made up of proposed slippage of £</w:t>
      </w:r>
      <w:r w:rsidR="00111C32" w:rsidRPr="00111C32">
        <w:rPr>
          <w:rFonts w:cs="Arial"/>
          <w:bCs/>
          <w:szCs w:val="24"/>
        </w:rPr>
        <w:t>3.891</w:t>
      </w:r>
      <w:r w:rsidR="00957EA1" w:rsidRPr="00111C32">
        <w:rPr>
          <w:rFonts w:cs="Arial"/>
          <w:bCs/>
          <w:szCs w:val="24"/>
        </w:rPr>
        <w:t>m</w:t>
      </w:r>
      <w:r w:rsidRPr="00111C32">
        <w:rPr>
          <w:rFonts w:cs="Arial"/>
          <w:bCs/>
          <w:szCs w:val="24"/>
        </w:rPr>
        <w:t xml:space="preserve"> and a net underspend of £</w:t>
      </w:r>
      <w:r w:rsidR="00111C32" w:rsidRPr="00111C32">
        <w:rPr>
          <w:rFonts w:cs="Arial"/>
          <w:bCs/>
          <w:szCs w:val="24"/>
        </w:rPr>
        <w:t>205k</w:t>
      </w:r>
      <w:r w:rsidR="004052E3" w:rsidRPr="00111C32">
        <w:rPr>
          <w:rFonts w:cs="Arial"/>
          <w:bCs/>
          <w:szCs w:val="24"/>
        </w:rPr>
        <w:t>.</w:t>
      </w:r>
    </w:p>
    <w:p w14:paraId="2578A8C1" w14:textId="5E0AF206" w:rsidR="006C2716" w:rsidRDefault="006C2716" w:rsidP="006C2716">
      <w:pPr>
        <w:pStyle w:val="ListParagraph"/>
        <w:rPr>
          <w:rFonts w:cs="Arial"/>
          <w:szCs w:val="24"/>
        </w:rPr>
      </w:pPr>
    </w:p>
    <w:p w14:paraId="64F3B388" w14:textId="77777777" w:rsidR="00FD4F48" w:rsidRPr="006C2716" w:rsidRDefault="00FD4F48" w:rsidP="006C2716">
      <w:pPr>
        <w:pStyle w:val="ListParagraph"/>
        <w:rPr>
          <w:rFonts w:cs="Arial"/>
          <w:szCs w:val="24"/>
        </w:rPr>
      </w:pPr>
    </w:p>
    <w:p w14:paraId="7360CF00" w14:textId="77777777" w:rsidR="005475D3" w:rsidRPr="004D43AF" w:rsidRDefault="00472810" w:rsidP="00AF06B3">
      <w:pPr>
        <w:pStyle w:val="ListParagraph"/>
        <w:numPr>
          <w:ilvl w:val="0"/>
          <w:numId w:val="4"/>
        </w:numPr>
        <w:ind w:left="567" w:hanging="567"/>
        <w:jc w:val="both"/>
        <w:rPr>
          <w:rFonts w:cs="Arial"/>
          <w:b/>
          <w:szCs w:val="24"/>
          <w:u w:val="single"/>
        </w:rPr>
      </w:pPr>
      <w:r w:rsidRPr="004D43AF">
        <w:rPr>
          <w:rFonts w:cs="Arial"/>
          <w:b/>
          <w:szCs w:val="24"/>
          <w:u w:val="single"/>
        </w:rPr>
        <w:t>REVENUE MONITORING</w:t>
      </w:r>
    </w:p>
    <w:p w14:paraId="5DC5A216" w14:textId="77777777" w:rsidR="005475D3" w:rsidRPr="004D43AF" w:rsidRDefault="005475D3" w:rsidP="005475D3">
      <w:pPr>
        <w:pStyle w:val="ListParagraph"/>
        <w:ind w:left="567"/>
        <w:jc w:val="both"/>
        <w:rPr>
          <w:rFonts w:cs="Arial"/>
          <w:b/>
          <w:szCs w:val="24"/>
          <w:u w:val="single"/>
        </w:rPr>
      </w:pPr>
    </w:p>
    <w:p w14:paraId="41F79D0C" w14:textId="2F4F73F4" w:rsidR="00E971A9" w:rsidRPr="004D43AF" w:rsidRDefault="00E971A9" w:rsidP="00E971A9">
      <w:pPr>
        <w:pStyle w:val="ListParagraph"/>
        <w:numPr>
          <w:ilvl w:val="1"/>
          <w:numId w:val="26"/>
        </w:numPr>
        <w:contextualSpacing/>
        <w:jc w:val="both"/>
        <w:rPr>
          <w:rFonts w:cs="Arial"/>
          <w:szCs w:val="24"/>
        </w:rPr>
      </w:pPr>
      <w:r w:rsidRPr="004D43AF">
        <w:rPr>
          <w:rFonts w:cs="Arial"/>
          <w:bCs/>
          <w:szCs w:val="24"/>
        </w:rPr>
        <w:t xml:space="preserve">As at Q1 the forecast revenue budget outturn, after </w:t>
      </w:r>
      <w:r w:rsidRPr="004D43AF">
        <w:rPr>
          <w:rFonts w:cs="Arial"/>
          <w:szCs w:val="24"/>
        </w:rPr>
        <w:t>the planned use of reserves, is a net overspend of £</w:t>
      </w:r>
      <w:r w:rsidR="004D43AF" w:rsidRPr="004D43AF">
        <w:rPr>
          <w:rFonts w:cs="Arial"/>
          <w:szCs w:val="24"/>
        </w:rPr>
        <w:t>2.350m</w:t>
      </w:r>
      <w:r w:rsidRPr="004D43AF">
        <w:rPr>
          <w:rFonts w:cs="Arial"/>
          <w:szCs w:val="24"/>
        </w:rPr>
        <w:t>.</w:t>
      </w:r>
    </w:p>
    <w:p w14:paraId="52EA0561" w14:textId="5350A502" w:rsidR="005475D3" w:rsidRPr="004D43AF" w:rsidRDefault="005475D3" w:rsidP="006A200B">
      <w:pPr>
        <w:jc w:val="both"/>
        <w:rPr>
          <w:rFonts w:cs="Arial"/>
          <w:bCs/>
          <w:szCs w:val="24"/>
        </w:rPr>
      </w:pPr>
    </w:p>
    <w:p w14:paraId="6F56DFA3" w14:textId="35B6F805" w:rsidR="0055673A" w:rsidRPr="004D43AF" w:rsidRDefault="00D122E9" w:rsidP="006A200B">
      <w:pPr>
        <w:jc w:val="both"/>
        <w:rPr>
          <w:rFonts w:cs="Arial"/>
          <w:b/>
          <w:szCs w:val="24"/>
          <w:u w:val="single"/>
        </w:rPr>
      </w:pPr>
      <w:r w:rsidRPr="004D43AF">
        <w:rPr>
          <w:rFonts w:cs="Arial"/>
          <w:b/>
          <w:szCs w:val="24"/>
          <w:u w:val="single"/>
        </w:rPr>
        <w:t xml:space="preserve">Table 1: Summary of Revenue Budget Monitoring – </w:t>
      </w:r>
      <w:r w:rsidR="00AE44D4" w:rsidRPr="004D43AF">
        <w:rPr>
          <w:rFonts w:cs="Arial"/>
          <w:b/>
          <w:szCs w:val="24"/>
          <w:u w:val="single"/>
        </w:rPr>
        <w:t xml:space="preserve">Forecast at Q1 </w:t>
      </w:r>
      <w:r w:rsidR="00B263A2" w:rsidRPr="004D43AF">
        <w:rPr>
          <w:rFonts w:cs="Arial"/>
          <w:b/>
          <w:szCs w:val="24"/>
          <w:u w:val="single"/>
        </w:rPr>
        <w:t>2023-24</w:t>
      </w:r>
    </w:p>
    <w:p w14:paraId="1437D7E7" w14:textId="77777777" w:rsidR="004E16FA" w:rsidRPr="00541017" w:rsidRDefault="004E16FA" w:rsidP="006A200B">
      <w:pPr>
        <w:jc w:val="both"/>
        <w:rPr>
          <w:rFonts w:cs="Arial"/>
          <w:b/>
          <w:color w:val="FF0000"/>
          <w:szCs w:val="24"/>
          <w:u w:val="single"/>
        </w:rPr>
      </w:pPr>
    </w:p>
    <w:p w14:paraId="73517C87" w14:textId="501D95EA" w:rsidR="00B948C4" w:rsidRPr="00541017" w:rsidRDefault="00894ABC" w:rsidP="00894ABC">
      <w:pPr>
        <w:ind w:left="-426"/>
        <w:jc w:val="both"/>
        <w:rPr>
          <w:rFonts w:cs="Arial"/>
          <w:b/>
          <w:color w:val="FF0000"/>
          <w:szCs w:val="24"/>
          <w:u w:val="single"/>
        </w:rPr>
      </w:pPr>
      <w:r w:rsidRPr="00894ABC">
        <w:rPr>
          <w:noProof/>
        </w:rPr>
        <w:drawing>
          <wp:inline distT="0" distB="0" distL="0" distR="0" wp14:anchorId="6AE356A5" wp14:editId="0B7DFDBE">
            <wp:extent cx="6296742" cy="31940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4138" cy="3197802"/>
                    </a:xfrm>
                    <a:prstGeom prst="rect">
                      <a:avLst/>
                    </a:prstGeom>
                    <a:noFill/>
                    <a:ln>
                      <a:noFill/>
                    </a:ln>
                  </pic:spPr>
                </pic:pic>
              </a:graphicData>
            </a:graphic>
          </wp:inline>
        </w:drawing>
      </w:r>
    </w:p>
    <w:p w14:paraId="7E26E6E1" w14:textId="77777777" w:rsidR="003C7F2F" w:rsidRPr="00541017" w:rsidRDefault="003C7F2F" w:rsidP="003C7F2F">
      <w:pPr>
        <w:jc w:val="both"/>
        <w:rPr>
          <w:rFonts w:cs="Arial"/>
          <w:b/>
          <w:color w:val="FF0000"/>
          <w:szCs w:val="24"/>
        </w:rPr>
      </w:pPr>
      <w:bookmarkStart w:id="0" w:name="_Hlk48039303"/>
      <w:bookmarkStart w:id="1" w:name="_Hlk54352665"/>
      <w:bookmarkStart w:id="2" w:name="_Hlk62420623"/>
    </w:p>
    <w:p w14:paraId="0506E954" w14:textId="76ACCC92" w:rsidR="00AD2DCB" w:rsidRPr="008F0A9D" w:rsidRDefault="00AD2DCB" w:rsidP="00AD2DCB">
      <w:pPr>
        <w:pStyle w:val="ListParagraph"/>
        <w:numPr>
          <w:ilvl w:val="0"/>
          <w:numId w:val="4"/>
        </w:numPr>
        <w:ind w:left="567" w:hanging="567"/>
        <w:jc w:val="both"/>
        <w:rPr>
          <w:rFonts w:cs="Arial"/>
          <w:szCs w:val="24"/>
        </w:rPr>
      </w:pPr>
      <w:r w:rsidRPr="008F0A9D">
        <w:rPr>
          <w:rFonts w:cs="Arial"/>
          <w:szCs w:val="24"/>
        </w:rPr>
        <w:t xml:space="preserve">Table 1 shows a projected net draw down from reserves of £11.306m (which does not include the draw down of £2.350m for the projected overspend). Out of the £11.306m, £1m relates to planned draw down to support the 2023-24 budget. The remainder of the </w:t>
      </w:r>
      <w:proofErr w:type="spellStart"/>
      <w:r w:rsidRPr="008F0A9D">
        <w:rPr>
          <w:rFonts w:cs="Arial"/>
          <w:szCs w:val="24"/>
        </w:rPr>
        <w:t>draw downs</w:t>
      </w:r>
      <w:proofErr w:type="spellEnd"/>
      <w:r w:rsidRPr="008F0A9D">
        <w:rPr>
          <w:rFonts w:cs="Arial"/>
          <w:szCs w:val="24"/>
        </w:rPr>
        <w:t xml:space="preserve"> from reserves generally relate to planned use, for example</w:t>
      </w:r>
    </w:p>
    <w:p w14:paraId="5E310016" w14:textId="77777777" w:rsidR="002F5AEB" w:rsidRPr="008F0A9D" w:rsidRDefault="002F5AEB" w:rsidP="002F5AEB">
      <w:pPr>
        <w:pStyle w:val="ListParagraph"/>
        <w:ind w:left="567"/>
        <w:jc w:val="both"/>
        <w:rPr>
          <w:rFonts w:cs="Arial"/>
          <w:szCs w:val="24"/>
        </w:rPr>
      </w:pPr>
    </w:p>
    <w:p w14:paraId="6378896D" w14:textId="630E1BE3" w:rsidR="00AD2DCB" w:rsidRPr="008F0A9D" w:rsidRDefault="002F5AEB" w:rsidP="00AD2DCB">
      <w:pPr>
        <w:pStyle w:val="ListParagraph"/>
        <w:numPr>
          <w:ilvl w:val="1"/>
          <w:numId w:val="4"/>
        </w:numPr>
        <w:jc w:val="both"/>
        <w:rPr>
          <w:rFonts w:cs="Arial"/>
          <w:szCs w:val="24"/>
        </w:rPr>
      </w:pPr>
      <w:r w:rsidRPr="008F0A9D">
        <w:rPr>
          <w:rFonts w:cs="Arial"/>
          <w:szCs w:val="24"/>
        </w:rPr>
        <w:t>£2m MTFS Implementation to support delivery of savings</w:t>
      </w:r>
    </w:p>
    <w:p w14:paraId="243BFB45" w14:textId="50B1C4B1" w:rsidR="002F5AEB" w:rsidRPr="008F0A9D" w:rsidRDefault="002F5AEB" w:rsidP="00AD2DCB">
      <w:pPr>
        <w:pStyle w:val="ListParagraph"/>
        <w:numPr>
          <w:ilvl w:val="1"/>
          <w:numId w:val="4"/>
        </w:numPr>
        <w:jc w:val="both"/>
        <w:rPr>
          <w:rFonts w:cs="Arial"/>
          <w:szCs w:val="24"/>
        </w:rPr>
      </w:pPr>
      <w:r w:rsidRPr="008F0A9D">
        <w:rPr>
          <w:rFonts w:cs="Arial"/>
          <w:szCs w:val="24"/>
        </w:rPr>
        <w:t>£1.7m ringfenced grants to support planned spend</w:t>
      </w:r>
    </w:p>
    <w:p w14:paraId="58BD8541" w14:textId="535CACCD" w:rsidR="002F5AEB" w:rsidRPr="008F0A9D" w:rsidRDefault="002F5AEB" w:rsidP="00AD2DCB">
      <w:pPr>
        <w:pStyle w:val="ListParagraph"/>
        <w:numPr>
          <w:ilvl w:val="1"/>
          <w:numId w:val="4"/>
        </w:numPr>
        <w:jc w:val="both"/>
        <w:rPr>
          <w:rFonts w:cs="Arial"/>
          <w:szCs w:val="24"/>
        </w:rPr>
      </w:pPr>
      <w:r w:rsidRPr="008F0A9D">
        <w:rPr>
          <w:rFonts w:cs="Arial"/>
          <w:szCs w:val="24"/>
        </w:rPr>
        <w:t>£2m Adults budget in relation to a one off payment to be made to care providers in 2023-24 in relation to inflation pressures</w:t>
      </w:r>
    </w:p>
    <w:p w14:paraId="7CB1FE2C" w14:textId="34910856" w:rsidR="002F5AEB" w:rsidRPr="008F0A9D" w:rsidRDefault="002F5AEB" w:rsidP="00AD2DCB">
      <w:pPr>
        <w:pStyle w:val="ListParagraph"/>
        <w:numPr>
          <w:ilvl w:val="1"/>
          <w:numId w:val="4"/>
        </w:numPr>
        <w:jc w:val="both"/>
        <w:rPr>
          <w:rFonts w:cs="Arial"/>
          <w:szCs w:val="24"/>
        </w:rPr>
      </w:pPr>
      <w:r w:rsidRPr="008F0A9D">
        <w:rPr>
          <w:rFonts w:cs="Arial"/>
          <w:szCs w:val="24"/>
        </w:rPr>
        <w:t xml:space="preserve">£1.4m </w:t>
      </w:r>
      <w:r w:rsidR="00F069B1" w:rsidRPr="008F0A9D">
        <w:rPr>
          <w:rFonts w:cs="Arial"/>
          <w:szCs w:val="24"/>
        </w:rPr>
        <w:t xml:space="preserve">of budget </w:t>
      </w:r>
      <w:r w:rsidRPr="008F0A9D">
        <w:rPr>
          <w:rFonts w:cs="Arial"/>
          <w:szCs w:val="24"/>
        </w:rPr>
        <w:t>carr</w:t>
      </w:r>
      <w:r w:rsidR="00F069B1" w:rsidRPr="008F0A9D">
        <w:rPr>
          <w:rFonts w:cs="Arial"/>
          <w:szCs w:val="24"/>
        </w:rPr>
        <w:t>ied</w:t>
      </w:r>
      <w:r w:rsidRPr="008F0A9D">
        <w:rPr>
          <w:rFonts w:cs="Arial"/>
          <w:szCs w:val="24"/>
        </w:rPr>
        <w:t xml:space="preserve"> forward from the 2022-23 budget</w:t>
      </w:r>
      <w:r w:rsidR="00F069B1" w:rsidRPr="008F0A9D">
        <w:rPr>
          <w:rFonts w:cs="Arial"/>
          <w:szCs w:val="24"/>
        </w:rPr>
        <w:t xml:space="preserve"> to complete projects or ensure grant is fully spent.</w:t>
      </w:r>
    </w:p>
    <w:p w14:paraId="6DAC6E09" w14:textId="7C59CA07" w:rsidR="002F5AEB" w:rsidRPr="008F0A9D" w:rsidRDefault="002F5AEB" w:rsidP="00AD2DCB">
      <w:pPr>
        <w:pStyle w:val="ListParagraph"/>
        <w:numPr>
          <w:ilvl w:val="1"/>
          <w:numId w:val="4"/>
        </w:numPr>
        <w:jc w:val="both"/>
        <w:rPr>
          <w:rFonts w:cs="Arial"/>
          <w:szCs w:val="24"/>
        </w:rPr>
      </w:pPr>
      <w:r w:rsidRPr="008F0A9D">
        <w:rPr>
          <w:rFonts w:cs="Arial"/>
          <w:szCs w:val="24"/>
        </w:rPr>
        <w:t>£1m Children’s Social Care to support overall pressures</w:t>
      </w:r>
    </w:p>
    <w:p w14:paraId="7B80F775" w14:textId="2D82D311" w:rsidR="002F5AEB" w:rsidRPr="008F0A9D" w:rsidRDefault="002F5AEB" w:rsidP="00AD2DCB">
      <w:pPr>
        <w:pStyle w:val="ListParagraph"/>
        <w:numPr>
          <w:ilvl w:val="1"/>
          <w:numId w:val="4"/>
        </w:numPr>
        <w:jc w:val="both"/>
        <w:rPr>
          <w:rFonts w:cs="Arial"/>
          <w:szCs w:val="24"/>
        </w:rPr>
      </w:pPr>
      <w:r w:rsidRPr="008F0A9D">
        <w:rPr>
          <w:rFonts w:cs="Arial"/>
          <w:szCs w:val="24"/>
        </w:rPr>
        <w:t xml:space="preserve">£2.2m Other </w:t>
      </w:r>
      <w:proofErr w:type="spellStart"/>
      <w:r w:rsidRPr="008F0A9D">
        <w:rPr>
          <w:rFonts w:cs="Arial"/>
          <w:szCs w:val="24"/>
        </w:rPr>
        <w:t>draw downs</w:t>
      </w:r>
      <w:proofErr w:type="spellEnd"/>
      <w:r w:rsidRPr="008F0A9D">
        <w:rPr>
          <w:rFonts w:cs="Arial"/>
          <w:szCs w:val="24"/>
        </w:rPr>
        <w:t xml:space="preserve"> including </w:t>
      </w:r>
      <w:r w:rsidR="00F069B1" w:rsidRPr="008F0A9D">
        <w:rPr>
          <w:rFonts w:cs="Arial"/>
          <w:szCs w:val="24"/>
        </w:rPr>
        <w:t xml:space="preserve">planned </w:t>
      </w:r>
      <w:r w:rsidRPr="008F0A9D">
        <w:rPr>
          <w:rFonts w:cs="Arial"/>
          <w:szCs w:val="24"/>
        </w:rPr>
        <w:t>PFI</w:t>
      </w:r>
      <w:r w:rsidR="00F069B1" w:rsidRPr="008F0A9D">
        <w:rPr>
          <w:rFonts w:cs="Arial"/>
          <w:szCs w:val="24"/>
        </w:rPr>
        <w:t xml:space="preserve"> contributions</w:t>
      </w:r>
      <w:r w:rsidRPr="008F0A9D">
        <w:rPr>
          <w:rFonts w:cs="Arial"/>
          <w:szCs w:val="24"/>
        </w:rPr>
        <w:t xml:space="preserve">, </w:t>
      </w:r>
      <w:r w:rsidR="00F069B1" w:rsidRPr="008F0A9D">
        <w:rPr>
          <w:rFonts w:cs="Arial"/>
          <w:szCs w:val="24"/>
        </w:rPr>
        <w:t xml:space="preserve">use of the </w:t>
      </w:r>
      <w:r w:rsidRPr="008F0A9D">
        <w:rPr>
          <w:rFonts w:cs="Arial"/>
          <w:szCs w:val="24"/>
        </w:rPr>
        <w:t>public health</w:t>
      </w:r>
      <w:r w:rsidR="00F069B1" w:rsidRPr="008F0A9D">
        <w:rPr>
          <w:rFonts w:cs="Arial"/>
          <w:szCs w:val="24"/>
        </w:rPr>
        <w:t xml:space="preserve"> reserve and </w:t>
      </w:r>
      <w:r w:rsidRPr="008F0A9D">
        <w:rPr>
          <w:rFonts w:cs="Arial"/>
          <w:szCs w:val="24"/>
        </w:rPr>
        <w:t>other projects</w:t>
      </w:r>
      <w:r w:rsidR="00F069B1" w:rsidRPr="008F0A9D">
        <w:rPr>
          <w:rFonts w:cs="Arial"/>
          <w:szCs w:val="24"/>
        </w:rPr>
        <w:t>.</w:t>
      </w:r>
    </w:p>
    <w:p w14:paraId="255443EA" w14:textId="02F45261" w:rsidR="00FD4F48" w:rsidRDefault="00FD4F48" w:rsidP="003C7F2F">
      <w:pPr>
        <w:jc w:val="both"/>
        <w:rPr>
          <w:rFonts w:cs="Arial"/>
          <w:b/>
          <w:szCs w:val="24"/>
        </w:rPr>
      </w:pPr>
    </w:p>
    <w:p w14:paraId="7209110D" w14:textId="18DD405C" w:rsidR="00AD2DCB" w:rsidRDefault="00AD2DCB" w:rsidP="003C7F2F">
      <w:pPr>
        <w:jc w:val="both"/>
        <w:rPr>
          <w:rFonts w:cs="Arial"/>
          <w:b/>
          <w:szCs w:val="24"/>
        </w:rPr>
      </w:pPr>
    </w:p>
    <w:p w14:paraId="7AFAC044" w14:textId="00AEEF69" w:rsidR="002F5AEB" w:rsidRDefault="002F5AEB" w:rsidP="003C7F2F">
      <w:pPr>
        <w:jc w:val="both"/>
        <w:rPr>
          <w:rFonts w:cs="Arial"/>
          <w:b/>
          <w:szCs w:val="24"/>
        </w:rPr>
      </w:pPr>
    </w:p>
    <w:p w14:paraId="5223489D" w14:textId="2EA59517" w:rsidR="002F5AEB" w:rsidRDefault="002F5AEB" w:rsidP="003C7F2F">
      <w:pPr>
        <w:jc w:val="both"/>
        <w:rPr>
          <w:rFonts w:cs="Arial"/>
          <w:b/>
          <w:szCs w:val="24"/>
        </w:rPr>
      </w:pPr>
    </w:p>
    <w:p w14:paraId="3B1C1755" w14:textId="230BFEC9" w:rsidR="00F608F4" w:rsidRPr="00353F24" w:rsidRDefault="00A8393C" w:rsidP="003C7F2F">
      <w:pPr>
        <w:jc w:val="both"/>
        <w:rPr>
          <w:rFonts w:cs="Arial"/>
          <w:b/>
          <w:szCs w:val="24"/>
        </w:rPr>
      </w:pPr>
      <w:r>
        <w:rPr>
          <w:rFonts w:cs="Arial"/>
          <w:b/>
          <w:szCs w:val="24"/>
        </w:rPr>
        <w:t>MANAGING DIRECTOR</w:t>
      </w:r>
    </w:p>
    <w:p w14:paraId="233F0938" w14:textId="44516390" w:rsidR="00007FDF" w:rsidRPr="00353F24" w:rsidRDefault="00007FDF" w:rsidP="00007FDF">
      <w:pPr>
        <w:jc w:val="both"/>
        <w:rPr>
          <w:rFonts w:cs="Arial"/>
          <w:b/>
          <w:szCs w:val="24"/>
        </w:rPr>
      </w:pPr>
    </w:p>
    <w:p w14:paraId="01656A53" w14:textId="62F9C483" w:rsidR="00007FDF" w:rsidRPr="00353F24" w:rsidRDefault="00D665EB" w:rsidP="00007FDF">
      <w:pPr>
        <w:jc w:val="both"/>
        <w:rPr>
          <w:rFonts w:cs="Arial"/>
          <w:b/>
          <w:szCs w:val="24"/>
          <w:u w:val="single"/>
        </w:rPr>
      </w:pPr>
      <w:r w:rsidRPr="00353F24">
        <w:rPr>
          <w:rFonts w:cs="Arial"/>
          <w:b/>
          <w:szCs w:val="24"/>
          <w:u w:val="single"/>
        </w:rPr>
        <w:t xml:space="preserve">Table 2: </w:t>
      </w:r>
      <w:r w:rsidR="00A8393C">
        <w:rPr>
          <w:rFonts w:cs="Arial"/>
          <w:b/>
          <w:szCs w:val="24"/>
          <w:u w:val="single"/>
        </w:rPr>
        <w:t>Managing Director</w:t>
      </w:r>
      <w:r w:rsidRPr="00353F24">
        <w:rPr>
          <w:rFonts w:cs="Arial"/>
          <w:b/>
          <w:szCs w:val="24"/>
          <w:u w:val="single"/>
        </w:rPr>
        <w:t xml:space="preserve"> </w:t>
      </w:r>
      <w:r w:rsidR="00AE44D4" w:rsidRPr="00353F24">
        <w:rPr>
          <w:rFonts w:cs="Arial"/>
          <w:b/>
          <w:szCs w:val="24"/>
          <w:u w:val="single"/>
        </w:rPr>
        <w:t>Forecast</w:t>
      </w:r>
      <w:r w:rsidRPr="00353F24">
        <w:rPr>
          <w:rFonts w:cs="Arial"/>
          <w:b/>
          <w:szCs w:val="24"/>
          <w:u w:val="single"/>
        </w:rPr>
        <w:t xml:space="preserve"> Outturn</w:t>
      </w:r>
      <w:r w:rsidR="00AE44D4" w:rsidRPr="00353F24">
        <w:rPr>
          <w:rFonts w:cs="Arial"/>
          <w:b/>
          <w:szCs w:val="24"/>
          <w:u w:val="single"/>
        </w:rPr>
        <w:t xml:space="preserve"> Q1</w:t>
      </w:r>
      <w:r w:rsidRPr="00353F24">
        <w:rPr>
          <w:rFonts w:cs="Arial"/>
          <w:b/>
          <w:szCs w:val="24"/>
          <w:u w:val="single"/>
        </w:rPr>
        <w:t xml:space="preserve"> 202</w:t>
      </w:r>
      <w:r w:rsidR="00353F24" w:rsidRPr="00353F24">
        <w:rPr>
          <w:rFonts w:cs="Arial"/>
          <w:b/>
          <w:szCs w:val="24"/>
          <w:u w:val="single"/>
        </w:rPr>
        <w:t>3-24</w:t>
      </w:r>
    </w:p>
    <w:p w14:paraId="3E324DF4" w14:textId="77DF9EE9" w:rsidR="00007FDF" w:rsidRPr="00353F24" w:rsidRDefault="00007FDF" w:rsidP="00007FDF">
      <w:pPr>
        <w:jc w:val="both"/>
        <w:rPr>
          <w:rFonts w:cs="Arial"/>
          <w:b/>
          <w:szCs w:val="24"/>
        </w:rPr>
      </w:pPr>
    </w:p>
    <w:tbl>
      <w:tblPr>
        <w:tblStyle w:val="TableGrid"/>
        <w:tblW w:w="9923" w:type="dxa"/>
        <w:tblInd w:w="-10" w:type="dxa"/>
        <w:tblLook w:val="04A0" w:firstRow="1" w:lastRow="0" w:firstColumn="1" w:lastColumn="0" w:noHBand="0" w:noVBand="1"/>
      </w:tblPr>
      <w:tblGrid>
        <w:gridCol w:w="4253"/>
        <w:gridCol w:w="992"/>
        <w:gridCol w:w="1134"/>
        <w:gridCol w:w="1276"/>
        <w:gridCol w:w="1134"/>
        <w:gridCol w:w="1134"/>
      </w:tblGrid>
      <w:tr w:rsidR="00353F24" w:rsidRPr="00353F24" w14:paraId="480A678D" w14:textId="77777777" w:rsidTr="00353F24">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5ABF251B" w14:textId="0B51F9F6" w:rsidR="00353F24" w:rsidRPr="00353F24" w:rsidRDefault="00353F24" w:rsidP="00353F24">
            <w:pPr>
              <w:pStyle w:val="ListParagraph"/>
              <w:ind w:left="0"/>
              <w:jc w:val="both"/>
              <w:rPr>
                <w:rFonts w:cs="Arial"/>
                <w:b/>
                <w:sz w:val="20"/>
              </w:rPr>
            </w:pPr>
            <w:r w:rsidRPr="00353F24">
              <w:rPr>
                <w:rFonts w:cs="Arial"/>
                <w:b/>
                <w:bCs/>
                <w:sz w:val="20"/>
              </w:rPr>
              <w:t>Division</w:t>
            </w:r>
          </w:p>
        </w:tc>
        <w:tc>
          <w:tcPr>
            <w:tcW w:w="992" w:type="dxa"/>
            <w:tcBorders>
              <w:top w:val="single" w:sz="8" w:space="0" w:color="auto"/>
              <w:left w:val="nil"/>
              <w:bottom w:val="single" w:sz="8" w:space="0" w:color="auto"/>
              <w:right w:val="single" w:sz="8" w:space="0" w:color="auto"/>
            </w:tcBorders>
            <w:shd w:val="clear" w:color="auto" w:fill="auto"/>
            <w:vAlign w:val="center"/>
          </w:tcPr>
          <w:p w14:paraId="71FF5AD7" w14:textId="62EF1401" w:rsidR="00353F24" w:rsidRPr="00353F24" w:rsidRDefault="00353F24" w:rsidP="00353F24">
            <w:pPr>
              <w:pStyle w:val="ListParagraph"/>
              <w:ind w:left="0"/>
              <w:jc w:val="center"/>
              <w:rPr>
                <w:rFonts w:cs="Arial"/>
                <w:b/>
                <w:sz w:val="20"/>
              </w:rPr>
            </w:pPr>
            <w:r w:rsidRPr="00353F24">
              <w:rPr>
                <w:rFonts w:cs="Arial"/>
                <w:b/>
                <w:bCs/>
                <w:sz w:val="20"/>
              </w:rPr>
              <w:t>Budget</w:t>
            </w:r>
          </w:p>
        </w:tc>
        <w:tc>
          <w:tcPr>
            <w:tcW w:w="1134" w:type="dxa"/>
            <w:tcBorders>
              <w:top w:val="single" w:sz="8" w:space="0" w:color="auto"/>
              <w:left w:val="nil"/>
              <w:bottom w:val="single" w:sz="8" w:space="0" w:color="auto"/>
              <w:right w:val="single" w:sz="8" w:space="0" w:color="auto"/>
            </w:tcBorders>
            <w:shd w:val="clear" w:color="auto" w:fill="auto"/>
            <w:vAlign w:val="center"/>
          </w:tcPr>
          <w:p w14:paraId="6C4CE8BB" w14:textId="08DF5FB2" w:rsidR="00353F24" w:rsidRPr="00353F24" w:rsidRDefault="00353F24" w:rsidP="00353F24">
            <w:pPr>
              <w:pStyle w:val="ListParagraph"/>
              <w:ind w:left="0"/>
              <w:jc w:val="center"/>
              <w:rPr>
                <w:rFonts w:cs="Arial"/>
                <w:b/>
                <w:sz w:val="20"/>
              </w:rPr>
            </w:pPr>
            <w:r w:rsidRPr="00353F24">
              <w:rPr>
                <w:rFonts w:cs="Arial"/>
                <w:b/>
                <w:bCs/>
                <w:sz w:val="20"/>
              </w:rPr>
              <w:t>Forecast</w:t>
            </w:r>
          </w:p>
        </w:tc>
        <w:tc>
          <w:tcPr>
            <w:tcW w:w="1276" w:type="dxa"/>
            <w:tcBorders>
              <w:top w:val="single" w:sz="8" w:space="0" w:color="auto"/>
              <w:left w:val="nil"/>
              <w:bottom w:val="single" w:sz="8" w:space="0" w:color="auto"/>
              <w:right w:val="single" w:sz="8" w:space="0" w:color="auto"/>
            </w:tcBorders>
            <w:shd w:val="clear" w:color="auto" w:fill="auto"/>
            <w:vAlign w:val="center"/>
          </w:tcPr>
          <w:p w14:paraId="5D894D3C" w14:textId="7C66E516" w:rsidR="00353F24" w:rsidRPr="00353F24" w:rsidRDefault="00353F24" w:rsidP="00353F24">
            <w:pPr>
              <w:pStyle w:val="ListParagraph"/>
              <w:ind w:left="0"/>
              <w:jc w:val="center"/>
              <w:rPr>
                <w:rFonts w:cs="Arial"/>
                <w:b/>
                <w:sz w:val="20"/>
              </w:rPr>
            </w:pPr>
            <w:r w:rsidRPr="00353F24">
              <w:rPr>
                <w:rFonts w:cs="Arial"/>
                <w:b/>
                <w:bCs/>
                <w:sz w:val="20"/>
              </w:rPr>
              <w:t>To/ (From) Reserves</w:t>
            </w:r>
          </w:p>
        </w:tc>
        <w:tc>
          <w:tcPr>
            <w:tcW w:w="1134" w:type="dxa"/>
            <w:tcBorders>
              <w:top w:val="single" w:sz="8" w:space="0" w:color="auto"/>
              <w:left w:val="nil"/>
              <w:bottom w:val="single" w:sz="8" w:space="0" w:color="auto"/>
              <w:right w:val="single" w:sz="8" w:space="0" w:color="auto"/>
            </w:tcBorders>
            <w:shd w:val="clear" w:color="auto" w:fill="auto"/>
            <w:vAlign w:val="center"/>
          </w:tcPr>
          <w:p w14:paraId="4072C1E4" w14:textId="126F6A64" w:rsidR="00353F24" w:rsidRPr="00353F24" w:rsidRDefault="00353F24" w:rsidP="00353F24">
            <w:pPr>
              <w:pStyle w:val="ListParagraph"/>
              <w:ind w:left="0"/>
              <w:jc w:val="center"/>
              <w:rPr>
                <w:rFonts w:cs="Arial"/>
                <w:b/>
                <w:sz w:val="20"/>
              </w:rPr>
            </w:pPr>
            <w:r w:rsidRPr="00353F24">
              <w:rPr>
                <w:rFonts w:cs="Arial"/>
                <w:b/>
                <w:bCs/>
                <w:sz w:val="20"/>
              </w:rPr>
              <w:t>Revised Forecast</w:t>
            </w:r>
          </w:p>
        </w:tc>
        <w:tc>
          <w:tcPr>
            <w:tcW w:w="1134" w:type="dxa"/>
            <w:tcBorders>
              <w:top w:val="single" w:sz="8" w:space="0" w:color="auto"/>
              <w:left w:val="nil"/>
              <w:bottom w:val="single" w:sz="8" w:space="0" w:color="auto"/>
              <w:right w:val="single" w:sz="8" w:space="0" w:color="auto"/>
            </w:tcBorders>
            <w:shd w:val="clear" w:color="auto" w:fill="auto"/>
            <w:vAlign w:val="center"/>
          </w:tcPr>
          <w:p w14:paraId="0D8525DE" w14:textId="5751394C" w:rsidR="00353F24" w:rsidRPr="00353F24" w:rsidRDefault="00353F24" w:rsidP="00353F24">
            <w:pPr>
              <w:pStyle w:val="ListParagraph"/>
              <w:ind w:left="0"/>
              <w:jc w:val="center"/>
              <w:rPr>
                <w:rFonts w:cs="Arial"/>
                <w:b/>
                <w:sz w:val="20"/>
              </w:rPr>
            </w:pPr>
            <w:r w:rsidRPr="00353F24">
              <w:rPr>
                <w:rFonts w:cs="Arial"/>
                <w:b/>
                <w:bCs/>
                <w:sz w:val="20"/>
              </w:rPr>
              <w:t>Variance to budget</w:t>
            </w:r>
          </w:p>
        </w:tc>
      </w:tr>
      <w:tr w:rsidR="00353F24" w:rsidRPr="00353F24" w14:paraId="14F6E352"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52336503" w14:textId="620FF093" w:rsidR="00353F24" w:rsidRPr="00353F24" w:rsidRDefault="00353F24" w:rsidP="00353F24">
            <w:pPr>
              <w:pStyle w:val="ListParagraph"/>
              <w:ind w:left="0"/>
              <w:jc w:val="both"/>
              <w:rPr>
                <w:rFonts w:cs="Arial"/>
                <w:b/>
                <w:sz w:val="20"/>
              </w:rPr>
            </w:pPr>
            <w:r w:rsidRPr="00353F24">
              <w:rPr>
                <w:rFonts w:cs="Arial"/>
                <w:b/>
                <w:bCs/>
                <w:sz w:val="20"/>
              </w:rPr>
              <w:t> </w:t>
            </w:r>
          </w:p>
        </w:tc>
        <w:tc>
          <w:tcPr>
            <w:tcW w:w="992" w:type="dxa"/>
            <w:tcBorders>
              <w:top w:val="nil"/>
              <w:left w:val="nil"/>
              <w:bottom w:val="single" w:sz="8" w:space="0" w:color="auto"/>
              <w:right w:val="single" w:sz="8" w:space="0" w:color="auto"/>
            </w:tcBorders>
            <w:shd w:val="clear" w:color="auto" w:fill="auto"/>
            <w:vAlign w:val="center"/>
          </w:tcPr>
          <w:p w14:paraId="18B7074C" w14:textId="6166737A" w:rsidR="00353F24" w:rsidRPr="00353F24" w:rsidRDefault="00353F24" w:rsidP="00353F24">
            <w:pPr>
              <w:pStyle w:val="ListParagraph"/>
              <w:ind w:left="0"/>
              <w:jc w:val="center"/>
              <w:rPr>
                <w:rFonts w:cs="Arial"/>
                <w:b/>
                <w:sz w:val="20"/>
              </w:rPr>
            </w:pPr>
            <w:r w:rsidRPr="00353F24">
              <w:rPr>
                <w:rFonts w:cs="Arial"/>
                <w:b/>
                <w:bCs/>
                <w:sz w:val="20"/>
              </w:rPr>
              <w:t>£000</w:t>
            </w:r>
          </w:p>
        </w:tc>
        <w:tc>
          <w:tcPr>
            <w:tcW w:w="1134" w:type="dxa"/>
            <w:tcBorders>
              <w:top w:val="nil"/>
              <w:left w:val="nil"/>
              <w:bottom w:val="single" w:sz="8" w:space="0" w:color="auto"/>
              <w:right w:val="single" w:sz="8" w:space="0" w:color="auto"/>
            </w:tcBorders>
            <w:shd w:val="clear" w:color="auto" w:fill="auto"/>
            <w:vAlign w:val="center"/>
          </w:tcPr>
          <w:p w14:paraId="409FB4F8" w14:textId="7F0A6CF3" w:rsidR="00353F24" w:rsidRPr="00353F24" w:rsidRDefault="00353F24" w:rsidP="00353F24">
            <w:pPr>
              <w:pStyle w:val="ListParagraph"/>
              <w:ind w:left="0"/>
              <w:jc w:val="center"/>
              <w:rPr>
                <w:rFonts w:cs="Arial"/>
                <w:b/>
                <w:sz w:val="20"/>
              </w:rPr>
            </w:pPr>
            <w:r w:rsidRPr="00353F24">
              <w:rPr>
                <w:rFonts w:cs="Arial"/>
                <w:b/>
                <w:bCs/>
                <w:sz w:val="20"/>
              </w:rPr>
              <w:t>£000</w:t>
            </w:r>
          </w:p>
        </w:tc>
        <w:tc>
          <w:tcPr>
            <w:tcW w:w="1276" w:type="dxa"/>
            <w:tcBorders>
              <w:top w:val="nil"/>
              <w:left w:val="nil"/>
              <w:bottom w:val="single" w:sz="8" w:space="0" w:color="auto"/>
              <w:right w:val="single" w:sz="8" w:space="0" w:color="auto"/>
            </w:tcBorders>
            <w:shd w:val="clear" w:color="auto" w:fill="auto"/>
            <w:vAlign w:val="center"/>
          </w:tcPr>
          <w:p w14:paraId="49EE5713" w14:textId="55DC3876" w:rsidR="00353F24" w:rsidRPr="00353F24" w:rsidRDefault="00353F24" w:rsidP="00353F24">
            <w:pPr>
              <w:pStyle w:val="ListParagraph"/>
              <w:ind w:left="0"/>
              <w:jc w:val="center"/>
              <w:rPr>
                <w:rFonts w:cs="Arial"/>
                <w:b/>
                <w:sz w:val="20"/>
              </w:rPr>
            </w:pPr>
            <w:r w:rsidRPr="00353F24">
              <w:rPr>
                <w:rFonts w:cs="Arial"/>
                <w:b/>
                <w:bCs/>
                <w:sz w:val="20"/>
              </w:rPr>
              <w:t>£000</w:t>
            </w:r>
          </w:p>
        </w:tc>
        <w:tc>
          <w:tcPr>
            <w:tcW w:w="1134" w:type="dxa"/>
            <w:tcBorders>
              <w:top w:val="nil"/>
              <w:left w:val="nil"/>
              <w:bottom w:val="single" w:sz="8" w:space="0" w:color="auto"/>
              <w:right w:val="single" w:sz="8" w:space="0" w:color="auto"/>
            </w:tcBorders>
            <w:shd w:val="clear" w:color="auto" w:fill="auto"/>
            <w:vAlign w:val="center"/>
          </w:tcPr>
          <w:p w14:paraId="00F27DA6" w14:textId="4844482C" w:rsidR="00353F24" w:rsidRPr="00353F24" w:rsidRDefault="00353F24" w:rsidP="00353F24">
            <w:pPr>
              <w:pStyle w:val="ListParagraph"/>
              <w:ind w:left="0"/>
              <w:jc w:val="center"/>
              <w:rPr>
                <w:rFonts w:cs="Arial"/>
                <w:b/>
                <w:sz w:val="20"/>
              </w:rPr>
            </w:pPr>
            <w:r w:rsidRPr="00353F24">
              <w:rPr>
                <w:rFonts w:cs="Arial"/>
                <w:b/>
                <w:bCs/>
                <w:sz w:val="20"/>
              </w:rPr>
              <w:t>£000</w:t>
            </w:r>
          </w:p>
        </w:tc>
        <w:tc>
          <w:tcPr>
            <w:tcW w:w="1134" w:type="dxa"/>
            <w:tcBorders>
              <w:top w:val="nil"/>
              <w:left w:val="nil"/>
              <w:bottom w:val="single" w:sz="8" w:space="0" w:color="auto"/>
              <w:right w:val="single" w:sz="8" w:space="0" w:color="auto"/>
            </w:tcBorders>
            <w:shd w:val="clear" w:color="auto" w:fill="auto"/>
            <w:vAlign w:val="center"/>
          </w:tcPr>
          <w:p w14:paraId="71CB07CB" w14:textId="312ED7B1" w:rsidR="00353F24" w:rsidRPr="00353F24" w:rsidRDefault="00353F24" w:rsidP="00353F24">
            <w:pPr>
              <w:pStyle w:val="ListParagraph"/>
              <w:ind w:left="0"/>
              <w:jc w:val="center"/>
              <w:rPr>
                <w:rFonts w:cs="Arial"/>
                <w:b/>
                <w:sz w:val="20"/>
              </w:rPr>
            </w:pPr>
            <w:r w:rsidRPr="00353F24">
              <w:rPr>
                <w:rFonts w:cs="Arial"/>
                <w:b/>
                <w:bCs/>
                <w:sz w:val="20"/>
              </w:rPr>
              <w:t>£000</w:t>
            </w:r>
          </w:p>
        </w:tc>
      </w:tr>
      <w:tr w:rsidR="00353F24" w:rsidRPr="00353F24" w14:paraId="7CD63DAE"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5E7B8772" w14:textId="375DCB82" w:rsidR="00353F24" w:rsidRPr="00353F24" w:rsidRDefault="00353F24" w:rsidP="00353F24">
            <w:pPr>
              <w:pStyle w:val="ListParagraph"/>
              <w:ind w:left="0"/>
              <w:rPr>
                <w:rFonts w:cs="Arial"/>
                <w:bCs/>
                <w:sz w:val="20"/>
              </w:rPr>
            </w:pPr>
            <w:r w:rsidRPr="00353F24">
              <w:rPr>
                <w:rFonts w:cs="Arial"/>
                <w:sz w:val="20"/>
              </w:rPr>
              <w:t>Internal Audit &amp; CAFT</w:t>
            </w:r>
          </w:p>
        </w:tc>
        <w:tc>
          <w:tcPr>
            <w:tcW w:w="992" w:type="dxa"/>
            <w:tcBorders>
              <w:top w:val="nil"/>
              <w:left w:val="nil"/>
              <w:bottom w:val="single" w:sz="8" w:space="0" w:color="auto"/>
              <w:right w:val="single" w:sz="8" w:space="0" w:color="auto"/>
            </w:tcBorders>
            <w:shd w:val="clear" w:color="000000" w:fill="FFFFFF"/>
            <w:vAlign w:val="center"/>
          </w:tcPr>
          <w:p w14:paraId="44080545" w14:textId="2454FAF7" w:rsidR="00353F24" w:rsidRPr="00353F24" w:rsidRDefault="00353F24" w:rsidP="00353F24">
            <w:pPr>
              <w:pStyle w:val="ListParagraph"/>
              <w:ind w:left="0"/>
              <w:jc w:val="right"/>
              <w:rPr>
                <w:rFonts w:cs="Arial"/>
                <w:bCs/>
                <w:sz w:val="20"/>
              </w:rPr>
            </w:pPr>
            <w:r w:rsidRPr="00353F24">
              <w:rPr>
                <w:rFonts w:cs="Arial"/>
                <w:sz w:val="20"/>
              </w:rPr>
              <w:t>658</w:t>
            </w:r>
          </w:p>
        </w:tc>
        <w:tc>
          <w:tcPr>
            <w:tcW w:w="1134" w:type="dxa"/>
            <w:tcBorders>
              <w:top w:val="nil"/>
              <w:left w:val="nil"/>
              <w:bottom w:val="single" w:sz="8" w:space="0" w:color="auto"/>
              <w:right w:val="single" w:sz="8" w:space="0" w:color="auto"/>
            </w:tcBorders>
            <w:shd w:val="clear" w:color="000000" w:fill="FFFFFF"/>
            <w:vAlign w:val="center"/>
          </w:tcPr>
          <w:p w14:paraId="02BEEE47" w14:textId="6B2CAD2B" w:rsidR="00353F24" w:rsidRPr="00353F24" w:rsidRDefault="00353F24" w:rsidP="00353F24">
            <w:pPr>
              <w:pStyle w:val="ListParagraph"/>
              <w:ind w:left="0"/>
              <w:jc w:val="right"/>
              <w:rPr>
                <w:rFonts w:cs="Arial"/>
                <w:bCs/>
                <w:sz w:val="20"/>
              </w:rPr>
            </w:pPr>
            <w:r w:rsidRPr="00353F24">
              <w:rPr>
                <w:rFonts w:cs="Arial"/>
                <w:sz w:val="20"/>
              </w:rPr>
              <w:t>658</w:t>
            </w:r>
          </w:p>
        </w:tc>
        <w:tc>
          <w:tcPr>
            <w:tcW w:w="1276" w:type="dxa"/>
            <w:tcBorders>
              <w:top w:val="nil"/>
              <w:left w:val="nil"/>
              <w:bottom w:val="single" w:sz="8" w:space="0" w:color="auto"/>
              <w:right w:val="single" w:sz="8" w:space="0" w:color="auto"/>
            </w:tcBorders>
            <w:shd w:val="clear" w:color="000000" w:fill="FFFFFF"/>
            <w:vAlign w:val="center"/>
          </w:tcPr>
          <w:p w14:paraId="71C7D4D5" w14:textId="2BFC49DA" w:rsidR="00353F24" w:rsidRPr="00353F24" w:rsidRDefault="00353F24" w:rsidP="00353F24">
            <w:pPr>
              <w:pStyle w:val="ListParagraph"/>
              <w:ind w:left="0"/>
              <w:jc w:val="right"/>
              <w:rPr>
                <w:rFonts w:cs="Arial"/>
                <w:bCs/>
                <w:sz w:val="20"/>
              </w:rPr>
            </w:pPr>
            <w:r w:rsidRPr="00353F24">
              <w:rPr>
                <w:rFonts w:cs="Arial"/>
                <w:sz w:val="20"/>
              </w:rPr>
              <w:t>0</w:t>
            </w:r>
          </w:p>
        </w:tc>
        <w:tc>
          <w:tcPr>
            <w:tcW w:w="1134" w:type="dxa"/>
            <w:tcBorders>
              <w:top w:val="nil"/>
              <w:left w:val="nil"/>
              <w:bottom w:val="single" w:sz="8" w:space="0" w:color="auto"/>
              <w:right w:val="single" w:sz="8" w:space="0" w:color="auto"/>
            </w:tcBorders>
            <w:shd w:val="clear" w:color="auto" w:fill="auto"/>
            <w:vAlign w:val="center"/>
          </w:tcPr>
          <w:p w14:paraId="63DF42B9" w14:textId="08A9F429" w:rsidR="00353F24" w:rsidRPr="00353F24" w:rsidRDefault="00353F24" w:rsidP="00353F24">
            <w:pPr>
              <w:pStyle w:val="ListParagraph"/>
              <w:ind w:left="0"/>
              <w:jc w:val="right"/>
              <w:rPr>
                <w:rFonts w:cs="Arial"/>
                <w:bCs/>
                <w:sz w:val="20"/>
              </w:rPr>
            </w:pPr>
            <w:r w:rsidRPr="00353F24">
              <w:rPr>
                <w:rFonts w:cs="Arial"/>
                <w:sz w:val="20"/>
              </w:rPr>
              <w:t>658</w:t>
            </w:r>
          </w:p>
        </w:tc>
        <w:tc>
          <w:tcPr>
            <w:tcW w:w="1134" w:type="dxa"/>
            <w:tcBorders>
              <w:top w:val="nil"/>
              <w:left w:val="nil"/>
              <w:bottom w:val="single" w:sz="8" w:space="0" w:color="auto"/>
              <w:right w:val="single" w:sz="8" w:space="0" w:color="auto"/>
            </w:tcBorders>
            <w:shd w:val="clear" w:color="000000" w:fill="F2F2F2"/>
            <w:vAlign w:val="center"/>
          </w:tcPr>
          <w:p w14:paraId="070F9BBC" w14:textId="7B0872B4" w:rsidR="00353F24" w:rsidRPr="00353F24" w:rsidRDefault="00353F24" w:rsidP="00353F24">
            <w:pPr>
              <w:pStyle w:val="ListParagraph"/>
              <w:ind w:left="0"/>
              <w:jc w:val="right"/>
              <w:rPr>
                <w:rFonts w:cs="Arial"/>
                <w:bCs/>
                <w:sz w:val="20"/>
              </w:rPr>
            </w:pPr>
            <w:r w:rsidRPr="00353F24">
              <w:rPr>
                <w:rFonts w:cs="Arial"/>
                <w:sz w:val="20"/>
              </w:rPr>
              <w:t>0</w:t>
            </w:r>
          </w:p>
        </w:tc>
      </w:tr>
      <w:tr w:rsidR="00353F24" w:rsidRPr="00353F24" w14:paraId="60A8721F"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420939DE" w14:textId="0E254ADF" w:rsidR="00353F24" w:rsidRPr="00353F24" w:rsidRDefault="00353F24" w:rsidP="00353F24">
            <w:pPr>
              <w:pStyle w:val="ListParagraph"/>
              <w:ind w:left="0"/>
              <w:rPr>
                <w:rFonts w:cs="Arial"/>
                <w:bCs/>
                <w:sz w:val="20"/>
              </w:rPr>
            </w:pPr>
            <w:r w:rsidRPr="00353F24">
              <w:rPr>
                <w:rFonts w:cs="Arial"/>
                <w:sz w:val="20"/>
              </w:rPr>
              <w:t xml:space="preserve">Finance &amp; Insurance </w:t>
            </w:r>
          </w:p>
        </w:tc>
        <w:tc>
          <w:tcPr>
            <w:tcW w:w="992" w:type="dxa"/>
            <w:tcBorders>
              <w:top w:val="nil"/>
              <w:left w:val="nil"/>
              <w:bottom w:val="single" w:sz="8" w:space="0" w:color="auto"/>
              <w:right w:val="single" w:sz="8" w:space="0" w:color="auto"/>
            </w:tcBorders>
            <w:shd w:val="clear" w:color="000000" w:fill="FFFFFF"/>
            <w:vAlign w:val="center"/>
          </w:tcPr>
          <w:p w14:paraId="76FDC4A6" w14:textId="47B5FAA5" w:rsidR="00353F24" w:rsidRPr="00353F24" w:rsidRDefault="00353F24" w:rsidP="00353F24">
            <w:pPr>
              <w:pStyle w:val="ListParagraph"/>
              <w:ind w:left="0"/>
              <w:jc w:val="right"/>
              <w:rPr>
                <w:rFonts w:cs="Arial"/>
                <w:bCs/>
                <w:sz w:val="20"/>
              </w:rPr>
            </w:pPr>
            <w:r w:rsidRPr="00353F24">
              <w:rPr>
                <w:rFonts w:cs="Arial"/>
                <w:sz w:val="20"/>
              </w:rPr>
              <w:t>3,448</w:t>
            </w:r>
          </w:p>
        </w:tc>
        <w:tc>
          <w:tcPr>
            <w:tcW w:w="1134" w:type="dxa"/>
            <w:tcBorders>
              <w:top w:val="nil"/>
              <w:left w:val="nil"/>
              <w:bottom w:val="single" w:sz="8" w:space="0" w:color="auto"/>
              <w:right w:val="single" w:sz="8" w:space="0" w:color="auto"/>
            </w:tcBorders>
            <w:shd w:val="clear" w:color="000000" w:fill="FFFFFF"/>
            <w:vAlign w:val="center"/>
          </w:tcPr>
          <w:p w14:paraId="006E0DB1" w14:textId="2B5D572C" w:rsidR="00353F24" w:rsidRPr="00353F24" w:rsidRDefault="00353F24" w:rsidP="00353F24">
            <w:pPr>
              <w:pStyle w:val="ListParagraph"/>
              <w:ind w:left="0"/>
              <w:jc w:val="right"/>
              <w:rPr>
                <w:rFonts w:cs="Arial"/>
                <w:bCs/>
                <w:sz w:val="20"/>
              </w:rPr>
            </w:pPr>
            <w:r w:rsidRPr="00353F24">
              <w:rPr>
                <w:rFonts w:cs="Arial"/>
                <w:sz w:val="20"/>
              </w:rPr>
              <w:t>3,702</w:t>
            </w:r>
          </w:p>
        </w:tc>
        <w:tc>
          <w:tcPr>
            <w:tcW w:w="1276" w:type="dxa"/>
            <w:tcBorders>
              <w:top w:val="nil"/>
              <w:left w:val="nil"/>
              <w:bottom w:val="single" w:sz="8" w:space="0" w:color="auto"/>
              <w:right w:val="single" w:sz="8" w:space="0" w:color="auto"/>
            </w:tcBorders>
            <w:shd w:val="clear" w:color="000000" w:fill="FFFFFF"/>
            <w:vAlign w:val="center"/>
          </w:tcPr>
          <w:p w14:paraId="190FFCAB" w14:textId="36E5F48C" w:rsidR="00353F24" w:rsidRPr="00353F24" w:rsidRDefault="00353F24" w:rsidP="00353F24">
            <w:pPr>
              <w:pStyle w:val="ListParagraph"/>
              <w:ind w:left="0"/>
              <w:jc w:val="right"/>
              <w:rPr>
                <w:rFonts w:cs="Arial"/>
                <w:bCs/>
                <w:sz w:val="20"/>
              </w:rPr>
            </w:pPr>
            <w:r w:rsidRPr="00353F24">
              <w:rPr>
                <w:rFonts w:cs="Arial"/>
                <w:sz w:val="20"/>
              </w:rPr>
              <w:t>-255</w:t>
            </w:r>
          </w:p>
        </w:tc>
        <w:tc>
          <w:tcPr>
            <w:tcW w:w="1134" w:type="dxa"/>
            <w:tcBorders>
              <w:top w:val="nil"/>
              <w:left w:val="nil"/>
              <w:bottom w:val="single" w:sz="8" w:space="0" w:color="auto"/>
              <w:right w:val="single" w:sz="8" w:space="0" w:color="auto"/>
            </w:tcBorders>
            <w:shd w:val="clear" w:color="auto" w:fill="auto"/>
            <w:vAlign w:val="center"/>
          </w:tcPr>
          <w:p w14:paraId="6C400866" w14:textId="2EE3763A" w:rsidR="00353F24" w:rsidRPr="00353F24" w:rsidRDefault="00353F24" w:rsidP="00353F24">
            <w:pPr>
              <w:pStyle w:val="ListParagraph"/>
              <w:ind w:left="0"/>
              <w:jc w:val="right"/>
              <w:rPr>
                <w:rFonts w:cs="Arial"/>
                <w:bCs/>
                <w:sz w:val="20"/>
              </w:rPr>
            </w:pPr>
            <w:r w:rsidRPr="00353F24">
              <w:rPr>
                <w:rFonts w:cs="Arial"/>
                <w:sz w:val="20"/>
              </w:rPr>
              <w:t>3,447</w:t>
            </w:r>
          </w:p>
        </w:tc>
        <w:tc>
          <w:tcPr>
            <w:tcW w:w="1134" w:type="dxa"/>
            <w:tcBorders>
              <w:top w:val="nil"/>
              <w:left w:val="nil"/>
              <w:bottom w:val="single" w:sz="8" w:space="0" w:color="auto"/>
              <w:right w:val="single" w:sz="8" w:space="0" w:color="auto"/>
            </w:tcBorders>
            <w:shd w:val="clear" w:color="000000" w:fill="F2F2F2"/>
            <w:vAlign w:val="center"/>
          </w:tcPr>
          <w:p w14:paraId="6F8F1F16" w14:textId="673B60F7" w:rsidR="00353F24" w:rsidRPr="00353F24" w:rsidRDefault="00353F24" w:rsidP="00353F24">
            <w:pPr>
              <w:pStyle w:val="ListParagraph"/>
              <w:ind w:left="0"/>
              <w:jc w:val="right"/>
              <w:rPr>
                <w:rFonts w:cs="Arial"/>
                <w:bCs/>
                <w:sz w:val="20"/>
              </w:rPr>
            </w:pPr>
            <w:r w:rsidRPr="00353F24">
              <w:rPr>
                <w:rFonts w:cs="Arial"/>
                <w:sz w:val="20"/>
              </w:rPr>
              <w:t>0</w:t>
            </w:r>
          </w:p>
        </w:tc>
      </w:tr>
      <w:tr w:rsidR="00353F24" w:rsidRPr="00353F24" w14:paraId="100A53C2"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392EF517" w14:textId="6C03D206" w:rsidR="00353F24" w:rsidRPr="00353F24" w:rsidRDefault="00353F24" w:rsidP="00353F24">
            <w:pPr>
              <w:pStyle w:val="ListParagraph"/>
              <w:ind w:left="0"/>
              <w:jc w:val="both"/>
              <w:rPr>
                <w:rFonts w:cs="Arial"/>
                <w:bCs/>
                <w:sz w:val="20"/>
              </w:rPr>
            </w:pPr>
            <w:r w:rsidRPr="00353F24">
              <w:rPr>
                <w:rFonts w:cs="Arial"/>
                <w:sz w:val="20"/>
              </w:rPr>
              <w:t>Revenues, Parking &amp; Benefits</w:t>
            </w:r>
          </w:p>
        </w:tc>
        <w:tc>
          <w:tcPr>
            <w:tcW w:w="992" w:type="dxa"/>
            <w:tcBorders>
              <w:top w:val="nil"/>
              <w:left w:val="nil"/>
              <w:bottom w:val="single" w:sz="8" w:space="0" w:color="auto"/>
              <w:right w:val="single" w:sz="8" w:space="0" w:color="auto"/>
            </w:tcBorders>
            <w:shd w:val="clear" w:color="000000" w:fill="FFFFFF"/>
            <w:vAlign w:val="center"/>
          </w:tcPr>
          <w:p w14:paraId="597D476C" w14:textId="699D1867" w:rsidR="00353F24" w:rsidRPr="00353F24" w:rsidRDefault="00353F24" w:rsidP="00353F24">
            <w:pPr>
              <w:pStyle w:val="ListParagraph"/>
              <w:ind w:left="0"/>
              <w:jc w:val="right"/>
              <w:rPr>
                <w:rFonts w:cs="Arial"/>
                <w:bCs/>
                <w:sz w:val="20"/>
              </w:rPr>
            </w:pPr>
            <w:r w:rsidRPr="00353F24">
              <w:rPr>
                <w:rFonts w:cs="Arial"/>
                <w:sz w:val="20"/>
              </w:rPr>
              <w:t>9,583</w:t>
            </w:r>
          </w:p>
        </w:tc>
        <w:tc>
          <w:tcPr>
            <w:tcW w:w="1134" w:type="dxa"/>
            <w:tcBorders>
              <w:top w:val="nil"/>
              <w:left w:val="nil"/>
              <w:bottom w:val="single" w:sz="8" w:space="0" w:color="auto"/>
              <w:right w:val="single" w:sz="8" w:space="0" w:color="auto"/>
            </w:tcBorders>
            <w:shd w:val="clear" w:color="000000" w:fill="FFFFFF"/>
            <w:vAlign w:val="center"/>
          </w:tcPr>
          <w:p w14:paraId="3629F2CB" w14:textId="4ABE1ABB" w:rsidR="00353F24" w:rsidRPr="00353F24" w:rsidRDefault="00353F24" w:rsidP="00353F24">
            <w:pPr>
              <w:pStyle w:val="ListParagraph"/>
              <w:ind w:left="0"/>
              <w:jc w:val="right"/>
              <w:rPr>
                <w:rFonts w:cs="Arial"/>
                <w:bCs/>
                <w:sz w:val="20"/>
              </w:rPr>
            </w:pPr>
            <w:r w:rsidRPr="00353F24">
              <w:rPr>
                <w:rFonts w:cs="Arial"/>
                <w:sz w:val="20"/>
              </w:rPr>
              <w:t>9,583</w:t>
            </w:r>
          </w:p>
        </w:tc>
        <w:tc>
          <w:tcPr>
            <w:tcW w:w="1276" w:type="dxa"/>
            <w:tcBorders>
              <w:top w:val="nil"/>
              <w:left w:val="nil"/>
              <w:bottom w:val="single" w:sz="8" w:space="0" w:color="auto"/>
              <w:right w:val="single" w:sz="8" w:space="0" w:color="auto"/>
            </w:tcBorders>
            <w:shd w:val="clear" w:color="000000" w:fill="FFFFFF"/>
            <w:vAlign w:val="center"/>
          </w:tcPr>
          <w:p w14:paraId="0254398E" w14:textId="7A1466AD" w:rsidR="00353F24" w:rsidRPr="00353F24" w:rsidRDefault="00353F24" w:rsidP="00353F24">
            <w:pPr>
              <w:pStyle w:val="ListParagraph"/>
              <w:ind w:left="0"/>
              <w:jc w:val="right"/>
              <w:rPr>
                <w:rFonts w:cs="Arial"/>
                <w:bCs/>
                <w:sz w:val="20"/>
              </w:rPr>
            </w:pPr>
            <w:r w:rsidRPr="00353F24">
              <w:rPr>
                <w:rFonts w:cs="Arial"/>
                <w:sz w:val="20"/>
              </w:rPr>
              <w:t>0</w:t>
            </w:r>
          </w:p>
        </w:tc>
        <w:tc>
          <w:tcPr>
            <w:tcW w:w="1134" w:type="dxa"/>
            <w:tcBorders>
              <w:top w:val="nil"/>
              <w:left w:val="nil"/>
              <w:bottom w:val="single" w:sz="8" w:space="0" w:color="auto"/>
              <w:right w:val="single" w:sz="8" w:space="0" w:color="auto"/>
            </w:tcBorders>
            <w:shd w:val="clear" w:color="auto" w:fill="auto"/>
            <w:vAlign w:val="center"/>
          </w:tcPr>
          <w:p w14:paraId="1E471B94" w14:textId="7BB3E684" w:rsidR="00353F24" w:rsidRPr="00353F24" w:rsidRDefault="00353F24" w:rsidP="00353F24">
            <w:pPr>
              <w:pStyle w:val="ListParagraph"/>
              <w:ind w:left="0"/>
              <w:jc w:val="right"/>
              <w:rPr>
                <w:rFonts w:cs="Arial"/>
                <w:bCs/>
                <w:sz w:val="20"/>
              </w:rPr>
            </w:pPr>
            <w:r w:rsidRPr="00353F24">
              <w:rPr>
                <w:rFonts w:cs="Arial"/>
                <w:sz w:val="20"/>
              </w:rPr>
              <w:t>9,583</w:t>
            </w:r>
          </w:p>
        </w:tc>
        <w:tc>
          <w:tcPr>
            <w:tcW w:w="1134" w:type="dxa"/>
            <w:tcBorders>
              <w:top w:val="nil"/>
              <w:left w:val="nil"/>
              <w:bottom w:val="single" w:sz="8" w:space="0" w:color="auto"/>
              <w:right w:val="single" w:sz="8" w:space="0" w:color="auto"/>
            </w:tcBorders>
            <w:shd w:val="clear" w:color="000000" w:fill="F2F2F2"/>
            <w:vAlign w:val="center"/>
          </w:tcPr>
          <w:p w14:paraId="28F9BE68" w14:textId="3F9F56E8" w:rsidR="00353F24" w:rsidRPr="00353F24" w:rsidRDefault="00353F24" w:rsidP="00353F24">
            <w:pPr>
              <w:pStyle w:val="ListParagraph"/>
              <w:ind w:left="0"/>
              <w:jc w:val="right"/>
              <w:rPr>
                <w:rFonts w:cs="Arial"/>
                <w:bCs/>
                <w:sz w:val="20"/>
              </w:rPr>
            </w:pPr>
            <w:r w:rsidRPr="00353F24">
              <w:rPr>
                <w:rFonts w:cs="Arial"/>
                <w:sz w:val="20"/>
              </w:rPr>
              <w:t>0</w:t>
            </w:r>
          </w:p>
        </w:tc>
      </w:tr>
      <w:tr w:rsidR="00353F24" w:rsidRPr="00353F24" w14:paraId="1024E496"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773BE0E3" w14:textId="5ED5CCFC" w:rsidR="00353F24" w:rsidRPr="00353F24" w:rsidRDefault="00353F24" w:rsidP="00353F24">
            <w:pPr>
              <w:pStyle w:val="ListParagraph"/>
              <w:ind w:left="0"/>
              <w:jc w:val="both"/>
              <w:rPr>
                <w:rFonts w:cs="Arial"/>
                <w:bCs/>
                <w:sz w:val="20"/>
              </w:rPr>
            </w:pPr>
            <w:r w:rsidRPr="00353F24">
              <w:rPr>
                <w:rFonts w:cs="Arial"/>
                <w:sz w:val="20"/>
              </w:rPr>
              <w:t xml:space="preserve">Procurement </w:t>
            </w:r>
          </w:p>
        </w:tc>
        <w:tc>
          <w:tcPr>
            <w:tcW w:w="992" w:type="dxa"/>
            <w:tcBorders>
              <w:top w:val="nil"/>
              <w:left w:val="nil"/>
              <w:bottom w:val="single" w:sz="8" w:space="0" w:color="auto"/>
              <w:right w:val="single" w:sz="8" w:space="0" w:color="auto"/>
            </w:tcBorders>
            <w:shd w:val="clear" w:color="000000" w:fill="FFFFFF"/>
            <w:vAlign w:val="center"/>
          </w:tcPr>
          <w:p w14:paraId="4F2F5322" w14:textId="4B25BD0F" w:rsidR="00353F24" w:rsidRPr="00353F24" w:rsidRDefault="00353F24" w:rsidP="00353F24">
            <w:pPr>
              <w:pStyle w:val="ListParagraph"/>
              <w:ind w:left="0"/>
              <w:jc w:val="right"/>
              <w:rPr>
                <w:rFonts w:cs="Arial"/>
                <w:bCs/>
                <w:sz w:val="20"/>
              </w:rPr>
            </w:pPr>
            <w:r w:rsidRPr="00353F24">
              <w:rPr>
                <w:rFonts w:cs="Arial"/>
                <w:sz w:val="20"/>
              </w:rPr>
              <w:t>680</w:t>
            </w:r>
          </w:p>
        </w:tc>
        <w:tc>
          <w:tcPr>
            <w:tcW w:w="1134" w:type="dxa"/>
            <w:tcBorders>
              <w:top w:val="nil"/>
              <w:left w:val="nil"/>
              <w:bottom w:val="single" w:sz="8" w:space="0" w:color="auto"/>
              <w:right w:val="single" w:sz="8" w:space="0" w:color="auto"/>
            </w:tcBorders>
            <w:shd w:val="clear" w:color="000000" w:fill="FFFFFF"/>
            <w:vAlign w:val="center"/>
          </w:tcPr>
          <w:p w14:paraId="65952421" w14:textId="01D2B64E" w:rsidR="00353F24" w:rsidRPr="00353F24" w:rsidRDefault="00353F24" w:rsidP="00353F24">
            <w:pPr>
              <w:pStyle w:val="ListParagraph"/>
              <w:ind w:left="0"/>
              <w:jc w:val="right"/>
              <w:rPr>
                <w:rFonts w:cs="Arial"/>
                <w:bCs/>
                <w:sz w:val="20"/>
              </w:rPr>
            </w:pPr>
            <w:r w:rsidRPr="00353F24">
              <w:rPr>
                <w:rFonts w:cs="Arial"/>
                <w:sz w:val="20"/>
              </w:rPr>
              <w:t>680</w:t>
            </w:r>
          </w:p>
        </w:tc>
        <w:tc>
          <w:tcPr>
            <w:tcW w:w="1276" w:type="dxa"/>
            <w:tcBorders>
              <w:top w:val="nil"/>
              <w:left w:val="nil"/>
              <w:bottom w:val="single" w:sz="8" w:space="0" w:color="auto"/>
              <w:right w:val="single" w:sz="8" w:space="0" w:color="auto"/>
            </w:tcBorders>
            <w:shd w:val="clear" w:color="000000" w:fill="FFFFFF"/>
            <w:vAlign w:val="center"/>
          </w:tcPr>
          <w:p w14:paraId="2597EB98" w14:textId="0BA87740" w:rsidR="00353F24" w:rsidRPr="00353F24" w:rsidRDefault="00353F24" w:rsidP="00353F24">
            <w:pPr>
              <w:pStyle w:val="ListParagraph"/>
              <w:ind w:left="0"/>
              <w:jc w:val="right"/>
              <w:rPr>
                <w:rFonts w:cs="Arial"/>
                <w:bCs/>
                <w:sz w:val="20"/>
              </w:rPr>
            </w:pPr>
            <w:r w:rsidRPr="00353F24">
              <w:rPr>
                <w:rFonts w:cs="Arial"/>
                <w:sz w:val="20"/>
              </w:rPr>
              <w:t>0</w:t>
            </w:r>
          </w:p>
        </w:tc>
        <w:tc>
          <w:tcPr>
            <w:tcW w:w="1134" w:type="dxa"/>
            <w:tcBorders>
              <w:top w:val="nil"/>
              <w:left w:val="nil"/>
              <w:bottom w:val="single" w:sz="8" w:space="0" w:color="auto"/>
              <w:right w:val="single" w:sz="8" w:space="0" w:color="auto"/>
            </w:tcBorders>
            <w:shd w:val="clear" w:color="auto" w:fill="auto"/>
            <w:vAlign w:val="center"/>
          </w:tcPr>
          <w:p w14:paraId="2A8B6A94" w14:textId="58F38C78" w:rsidR="00353F24" w:rsidRPr="00353F24" w:rsidRDefault="00353F24" w:rsidP="00353F24">
            <w:pPr>
              <w:pStyle w:val="ListParagraph"/>
              <w:ind w:left="0"/>
              <w:jc w:val="right"/>
              <w:rPr>
                <w:rFonts w:cs="Arial"/>
                <w:bCs/>
                <w:sz w:val="20"/>
              </w:rPr>
            </w:pPr>
            <w:r w:rsidRPr="00353F24">
              <w:rPr>
                <w:rFonts w:cs="Arial"/>
                <w:sz w:val="20"/>
              </w:rPr>
              <w:t>680</w:t>
            </w:r>
          </w:p>
        </w:tc>
        <w:tc>
          <w:tcPr>
            <w:tcW w:w="1134" w:type="dxa"/>
            <w:tcBorders>
              <w:top w:val="nil"/>
              <w:left w:val="nil"/>
              <w:bottom w:val="single" w:sz="8" w:space="0" w:color="auto"/>
              <w:right w:val="single" w:sz="8" w:space="0" w:color="auto"/>
            </w:tcBorders>
            <w:shd w:val="clear" w:color="000000" w:fill="F2F2F2"/>
            <w:vAlign w:val="center"/>
          </w:tcPr>
          <w:p w14:paraId="41846BB5" w14:textId="1260CD99" w:rsidR="00353F24" w:rsidRPr="00353F24" w:rsidRDefault="00353F24" w:rsidP="00353F24">
            <w:pPr>
              <w:pStyle w:val="ListParagraph"/>
              <w:ind w:left="0"/>
              <w:jc w:val="right"/>
              <w:rPr>
                <w:rFonts w:cs="Arial"/>
                <w:bCs/>
                <w:sz w:val="20"/>
              </w:rPr>
            </w:pPr>
            <w:r w:rsidRPr="00353F24">
              <w:rPr>
                <w:rFonts w:cs="Arial"/>
                <w:sz w:val="20"/>
              </w:rPr>
              <w:t>0</w:t>
            </w:r>
          </w:p>
        </w:tc>
      </w:tr>
      <w:tr w:rsidR="00353F24" w:rsidRPr="00353F24" w14:paraId="6DB2E31D"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7261FC32" w14:textId="26BC345C" w:rsidR="00353F24" w:rsidRPr="00353F24" w:rsidRDefault="00353F24" w:rsidP="00353F24">
            <w:pPr>
              <w:pStyle w:val="ListParagraph"/>
              <w:ind w:left="0"/>
              <w:jc w:val="both"/>
              <w:rPr>
                <w:rFonts w:cs="Arial"/>
                <w:bCs/>
                <w:sz w:val="20"/>
              </w:rPr>
            </w:pPr>
            <w:r w:rsidRPr="00353F24">
              <w:rPr>
                <w:rFonts w:cs="Arial"/>
                <w:sz w:val="20"/>
              </w:rPr>
              <w:t>Legal &amp; Governance</w:t>
            </w:r>
          </w:p>
        </w:tc>
        <w:tc>
          <w:tcPr>
            <w:tcW w:w="992" w:type="dxa"/>
            <w:tcBorders>
              <w:top w:val="nil"/>
              <w:left w:val="nil"/>
              <w:bottom w:val="single" w:sz="8" w:space="0" w:color="auto"/>
              <w:right w:val="single" w:sz="8" w:space="0" w:color="auto"/>
            </w:tcBorders>
            <w:shd w:val="clear" w:color="000000" w:fill="FFFFFF"/>
            <w:vAlign w:val="center"/>
          </w:tcPr>
          <w:p w14:paraId="341502BA" w14:textId="1D3175BB" w:rsidR="00353F24" w:rsidRPr="00353F24" w:rsidRDefault="00353F24" w:rsidP="00353F24">
            <w:pPr>
              <w:pStyle w:val="ListParagraph"/>
              <w:ind w:left="0"/>
              <w:jc w:val="right"/>
              <w:rPr>
                <w:rFonts w:cs="Arial"/>
                <w:bCs/>
                <w:sz w:val="20"/>
              </w:rPr>
            </w:pPr>
            <w:r w:rsidRPr="00353F24">
              <w:rPr>
                <w:rFonts w:cs="Arial"/>
                <w:sz w:val="20"/>
              </w:rPr>
              <w:t>4,381</w:t>
            </w:r>
          </w:p>
        </w:tc>
        <w:tc>
          <w:tcPr>
            <w:tcW w:w="1134" w:type="dxa"/>
            <w:tcBorders>
              <w:top w:val="nil"/>
              <w:left w:val="nil"/>
              <w:bottom w:val="single" w:sz="8" w:space="0" w:color="auto"/>
              <w:right w:val="single" w:sz="8" w:space="0" w:color="auto"/>
            </w:tcBorders>
            <w:shd w:val="clear" w:color="000000" w:fill="FFFFFF"/>
            <w:vAlign w:val="center"/>
          </w:tcPr>
          <w:p w14:paraId="25165717" w14:textId="0D7E4547" w:rsidR="00353F24" w:rsidRPr="00353F24" w:rsidRDefault="00353F24" w:rsidP="00353F24">
            <w:pPr>
              <w:pStyle w:val="ListParagraph"/>
              <w:ind w:left="0"/>
              <w:jc w:val="right"/>
              <w:rPr>
                <w:rFonts w:cs="Arial"/>
                <w:bCs/>
                <w:sz w:val="20"/>
              </w:rPr>
            </w:pPr>
            <w:r w:rsidRPr="00353F24">
              <w:rPr>
                <w:rFonts w:cs="Arial"/>
                <w:sz w:val="20"/>
              </w:rPr>
              <w:t>4,041</w:t>
            </w:r>
          </w:p>
        </w:tc>
        <w:tc>
          <w:tcPr>
            <w:tcW w:w="1276" w:type="dxa"/>
            <w:tcBorders>
              <w:top w:val="nil"/>
              <w:left w:val="nil"/>
              <w:bottom w:val="single" w:sz="8" w:space="0" w:color="auto"/>
              <w:right w:val="single" w:sz="8" w:space="0" w:color="auto"/>
            </w:tcBorders>
            <w:shd w:val="clear" w:color="000000" w:fill="FFFFFF"/>
            <w:vAlign w:val="center"/>
          </w:tcPr>
          <w:p w14:paraId="6517C5B3" w14:textId="40346D10" w:rsidR="00353F24" w:rsidRPr="00353F24" w:rsidRDefault="00353F24" w:rsidP="00353F24">
            <w:pPr>
              <w:pStyle w:val="ListParagraph"/>
              <w:ind w:left="0"/>
              <w:jc w:val="right"/>
              <w:rPr>
                <w:rFonts w:cs="Arial"/>
                <w:bCs/>
                <w:sz w:val="20"/>
              </w:rPr>
            </w:pPr>
            <w:r w:rsidRPr="00353F24">
              <w:rPr>
                <w:rFonts w:cs="Arial"/>
                <w:sz w:val="20"/>
              </w:rPr>
              <w:t>0</w:t>
            </w:r>
          </w:p>
        </w:tc>
        <w:tc>
          <w:tcPr>
            <w:tcW w:w="1134" w:type="dxa"/>
            <w:tcBorders>
              <w:top w:val="nil"/>
              <w:left w:val="nil"/>
              <w:bottom w:val="single" w:sz="8" w:space="0" w:color="auto"/>
              <w:right w:val="single" w:sz="8" w:space="0" w:color="auto"/>
            </w:tcBorders>
            <w:shd w:val="clear" w:color="auto" w:fill="auto"/>
            <w:vAlign w:val="center"/>
          </w:tcPr>
          <w:p w14:paraId="2039C4F1" w14:textId="3648E876" w:rsidR="00353F24" w:rsidRPr="00353F24" w:rsidRDefault="00353F24" w:rsidP="00353F24">
            <w:pPr>
              <w:pStyle w:val="ListParagraph"/>
              <w:ind w:left="0"/>
              <w:jc w:val="right"/>
              <w:rPr>
                <w:rFonts w:cs="Arial"/>
                <w:bCs/>
                <w:sz w:val="20"/>
              </w:rPr>
            </w:pPr>
            <w:r w:rsidRPr="00353F24">
              <w:rPr>
                <w:rFonts w:cs="Arial"/>
                <w:sz w:val="20"/>
              </w:rPr>
              <w:t>4,041</w:t>
            </w:r>
          </w:p>
        </w:tc>
        <w:tc>
          <w:tcPr>
            <w:tcW w:w="1134" w:type="dxa"/>
            <w:tcBorders>
              <w:top w:val="nil"/>
              <w:left w:val="nil"/>
              <w:bottom w:val="single" w:sz="8" w:space="0" w:color="auto"/>
              <w:right w:val="single" w:sz="8" w:space="0" w:color="auto"/>
            </w:tcBorders>
            <w:shd w:val="clear" w:color="000000" w:fill="F2F2F2"/>
            <w:vAlign w:val="center"/>
          </w:tcPr>
          <w:p w14:paraId="63451E93" w14:textId="260AD50E" w:rsidR="00353F24" w:rsidRPr="00353F24" w:rsidRDefault="00353F24" w:rsidP="00353F24">
            <w:pPr>
              <w:pStyle w:val="ListParagraph"/>
              <w:ind w:left="0"/>
              <w:jc w:val="right"/>
              <w:rPr>
                <w:rFonts w:cs="Arial"/>
                <w:bCs/>
                <w:sz w:val="20"/>
              </w:rPr>
            </w:pPr>
            <w:r w:rsidRPr="00353F24">
              <w:rPr>
                <w:rFonts w:cs="Arial"/>
                <w:sz w:val="20"/>
              </w:rPr>
              <w:t>-340</w:t>
            </w:r>
          </w:p>
        </w:tc>
      </w:tr>
      <w:tr w:rsidR="00353F24" w:rsidRPr="00353F24" w14:paraId="38537521"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02BFB717" w14:textId="593E321C" w:rsidR="00353F24" w:rsidRPr="00353F24" w:rsidRDefault="00894ABC" w:rsidP="00353F24">
            <w:pPr>
              <w:pStyle w:val="ListParagraph"/>
              <w:ind w:left="0"/>
              <w:jc w:val="both"/>
              <w:rPr>
                <w:rFonts w:cs="Arial"/>
                <w:bCs/>
                <w:sz w:val="20"/>
              </w:rPr>
            </w:pPr>
            <w:r>
              <w:rPr>
                <w:rFonts w:cs="Arial"/>
                <w:bCs/>
                <w:sz w:val="20"/>
              </w:rPr>
              <w:t>Managing Director</w:t>
            </w:r>
          </w:p>
        </w:tc>
        <w:tc>
          <w:tcPr>
            <w:tcW w:w="992" w:type="dxa"/>
            <w:tcBorders>
              <w:top w:val="nil"/>
              <w:left w:val="nil"/>
              <w:bottom w:val="single" w:sz="8" w:space="0" w:color="auto"/>
              <w:right w:val="single" w:sz="8" w:space="0" w:color="auto"/>
            </w:tcBorders>
            <w:shd w:val="clear" w:color="000000" w:fill="FFFFFF"/>
            <w:vAlign w:val="center"/>
          </w:tcPr>
          <w:p w14:paraId="0FDFA209" w14:textId="6C6709A5" w:rsidR="00353F24" w:rsidRPr="00353F24" w:rsidRDefault="00353F24" w:rsidP="00353F24">
            <w:pPr>
              <w:pStyle w:val="ListParagraph"/>
              <w:ind w:left="0"/>
              <w:jc w:val="right"/>
              <w:rPr>
                <w:rFonts w:cs="Arial"/>
                <w:bCs/>
                <w:sz w:val="20"/>
              </w:rPr>
            </w:pPr>
            <w:r w:rsidRPr="00353F24">
              <w:rPr>
                <w:rFonts w:cs="Arial"/>
                <w:sz w:val="20"/>
              </w:rPr>
              <w:t>265</w:t>
            </w:r>
          </w:p>
        </w:tc>
        <w:tc>
          <w:tcPr>
            <w:tcW w:w="1134" w:type="dxa"/>
            <w:tcBorders>
              <w:top w:val="nil"/>
              <w:left w:val="nil"/>
              <w:bottom w:val="single" w:sz="8" w:space="0" w:color="auto"/>
              <w:right w:val="single" w:sz="8" w:space="0" w:color="auto"/>
            </w:tcBorders>
            <w:shd w:val="clear" w:color="000000" w:fill="FFFFFF"/>
            <w:vAlign w:val="center"/>
          </w:tcPr>
          <w:p w14:paraId="1157DAFD" w14:textId="47E9E2E5" w:rsidR="00353F24" w:rsidRPr="00353F24" w:rsidRDefault="00353F24" w:rsidP="00353F24">
            <w:pPr>
              <w:pStyle w:val="ListParagraph"/>
              <w:ind w:left="0"/>
              <w:jc w:val="right"/>
              <w:rPr>
                <w:rFonts w:cs="Arial"/>
                <w:bCs/>
                <w:sz w:val="20"/>
              </w:rPr>
            </w:pPr>
            <w:r w:rsidRPr="00353F24">
              <w:rPr>
                <w:rFonts w:cs="Arial"/>
                <w:sz w:val="20"/>
              </w:rPr>
              <w:t>265</w:t>
            </w:r>
          </w:p>
        </w:tc>
        <w:tc>
          <w:tcPr>
            <w:tcW w:w="1276" w:type="dxa"/>
            <w:tcBorders>
              <w:top w:val="nil"/>
              <w:left w:val="nil"/>
              <w:bottom w:val="single" w:sz="8" w:space="0" w:color="auto"/>
              <w:right w:val="single" w:sz="8" w:space="0" w:color="auto"/>
            </w:tcBorders>
            <w:shd w:val="clear" w:color="000000" w:fill="FFFFFF"/>
            <w:vAlign w:val="center"/>
          </w:tcPr>
          <w:p w14:paraId="7278CA5D" w14:textId="72B25104" w:rsidR="00353F24" w:rsidRPr="00353F24" w:rsidRDefault="00353F24" w:rsidP="00353F24">
            <w:pPr>
              <w:pStyle w:val="ListParagraph"/>
              <w:ind w:left="0"/>
              <w:jc w:val="right"/>
              <w:rPr>
                <w:rFonts w:cs="Arial"/>
                <w:bCs/>
                <w:sz w:val="20"/>
              </w:rPr>
            </w:pPr>
            <w:r w:rsidRPr="00353F24">
              <w:rPr>
                <w:rFonts w:cs="Arial"/>
                <w:sz w:val="20"/>
              </w:rPr>
              <w:t>0</w:t>
            </w:r>
          </w:p>
        </w:tc>
        <w:tc>
          <w:tcPr>
            <w:tcW w:w="1134" w:type="dxa"/>
            <w:tcBorders>
              <w:top w:val="nil"/>
              <w:left w:val="nil"/>
              <w:bottom w:val="single" w:sz="8" w:space="0" w:color="auto"/>
              <w:right w:val="single" w:sz="8" w:space="0" w:color="auto"/>
            </w:tcBorders>
            <w:shd w:val="clear" w:color="auto" w:fill="auto"/>
            <w:vAlign w:val="center"/>
          </w:tcPr>
          <w:p w14:paraId="2A3182D2" w14:textId="3DDB00E3" w:rsidR="00353F24" w:rsidRPr="00353F24" w:rsidRDefault="00353F24" w:rsidP="00353F24">
            <w:pPr>
              <w:pStyle w:val="ListParagraph"/>
              <w:ind w:left="0"/>
              <w:jc w:val="right"/>
              <w:rPr>
                <w:rFonts w:cs="Arial"/>
                <w:bCs/>
                <w:sz w:val="20"/>
              </w:rPr>
            </w:pPr>
            <w:r w:rsidRPr="00353F24">
              <w:rPr>
                <w:rFonts w:cs="Arial"/>
                <w:sz w:val="20"/>
              </w:rPr>
              <w:t>265</w:t>
            </w:r>
          </w:p>
        </w:tc>
        <w:tc>
          <w:tcPr>
            <w:tcW w:w="1134" w:type="dxa"/>
            <w:tcBorders>
              <w:top w:val="nil"/>
              <w:left w:val="nil"/>
              <w:bottom w:val="single" w:sz="8" w:space="0" w:color="auto"/>
              <w:right w:val="single" w:sz="8" w:space="0" w:color="auto"/>
            </w:tcBorders>
            <w:shd w:val="clear" w:color="000000" w:fill="F2F2F2"/>
            <w:vAlign w:val="center"/>
          </w:tcPr>
          <w:p w14:paraId="48747FB1" w14:textId="15BDD6D0" w:rsidR="00353F24" w:rsidRPr="00353F24" w:rsidRDefault="00353F24" w:rsidP="00353F24">
            <w:pPr>
              <w:pStyle w:val="ListParagraph"/>
              <w:ind w:left="0"/>
              <w:jc w:val="right"/>
              <w:rPr>
                <w:rFonts w:cs="Arial"/>
                <w:bCs/>
                <w:sz w:val="20"/>
              </w:rPr>
            </w:pPr>
            <w:r w:rsidRPr="00353F24">
              <w:rPr>
                <w:rFonts w:cs="Arial"/>
                <w:sz w:val="20"/>
              </w:rPr>
              <w:t>0</w:t>
            </w:r>
          </w:p>
        </w:tc>
      </w:tr>
      <w:tr w:rsidR="00353F24" w:rsidRPr="00353F24" w14:paraId="0AECC089" w14:textId="77777777" w:rsidTr="00353F24">
        <w:tc>
          <w:tcPr>
            <w:tcW w:w="4253" w:type="dxa"/>
            <w:tcBorders>
              <w:top w:val="nil"/>
              <w:left w:val="single" w:sz="8" w:space="0" w:color="auto"/>
              <w:bottom w:val="single" w:sz="8" w:space="0" w:color="auto"/>
              <w:right w:val="single" w:sz="8" w:space="0" w:color="auto"/>
            </w:tcBorders>
            <w:shd w:val="clear" w:color="auto" w:fill="auto"/>
            <w:vAlign w:val="center"/>
          </w:tcPr>
          <w:p w14:paraId="74C145EE" w14:textId="2EE6B4F1" w:rsidR="00353F24" w:rsidRPr="00353F24" w:rsidRDefault="00353F24" w:rsidP="00353F24">
            <w:pPr>
              <w:pStyle w:val="ListParagraph"/>
              <w:ind w:left="0"/>
              <w:jc w:val="both"/>
              <w:rPr>
                <w:rFonts w:cs="Arial"/>
                <w:sz w:val="20"/>
              </w:rPr>
            </w:pPr>
            <w:r w:rsidRPr="00353F24">
              <w:rPr>
                <w:rFonts w:cs="Arial"/>
                <w:b/>
                <w:bCs/>
                <w:sz w:val="20"/>
              </w:rPr>
              <w:t>Totals</w:t>
            </w:r>
          </w:p>
        </w:tc>
        <w:tc>
          <w:tcPr>
            <w:tcW w:w="992" w:type="dxa"/>
            <w:tcBorders>
              <w:top w:val="nil"/>
              <w:left w:val="nil"/>
              <w:bottom w:val="single" w:sz="8" w:space="0" w:color="auto"/>
              <w:right w:val="single" w:sz="8" w:space="0" w:color="auto"/>
            </w:tcBorders>
            <w:shd w:val="clear" w:color="000000" w:fill="FFFFFF"/>
            <w:vAlign w:val="center"/>
          </w:tcPr>
          <w:p w14:paraId="35A4BE96" w14:textId="63B8510C" w:rsidR="00353F24" w:rsidRPr="00353F24" w:rsidRDefault="00353F24" w:rsidP="00353F24">
            <w:pPr>
              <w:pStyle w:val="ListParagraph"/>
              <w:ind w:left="0"/>
              <w:jc w:val="right"/>
              <w:rPr>
                <w:rFonts w:cs="Arial"/>
                <w:sz w:val="20"/>
              </w:rPr>
            </w:pPr>
            <w:r w:rsidRPr="00353F24">
              <w:rPr>
                <w:rFonts w:cs="Arial"/>
                <w:b/>
                <w:bCs/>
                <w:sz w:val="20"/>
              </w:rPr>
              <w:t>19,014</w:t>
            </w:r>
          </w:p>
        </w:tc>
        <w:tc>
          <w:tcPr>
            <w:tcW w:w="1134" w:type="dxa"/>
            <w:tcBorders>
              <w:top w:val="nil"/>
              <w:left w:val="nil"/>
              <w:bottom w:val="single" w:sz="8" w:space="0" w:color="auto"/>
              <w:right w:val="single" w:sz="8" w:space="0" w:color="auto"/>
            </w:tcBorders>
            <w:shd w:val="clear" w:color="000000" w:fill="FFFFFF"/>
            <w:vAlign w:val="center"/>
          </w:tcPr>
          <w:p w14:paraId="0C30558A" w14:textId="310A2ED9" w:rsidR="00353F24" w:rsidRPr="00353F24" w:rsidRDefault="00353F24" w:rsidP="00353F24">
            <w:pPr>
              <w:pStyle w:val="ListParagraph"/>
              <w:ind w:left="0"/>
              <w:jc w:val="right"/>
              <w:rPr>
                <w:rFonts w:cs="Arial"/>
                <w:sz w:val="20"/>
              </w:rPr>
            </w:pPr>
            <w:r w:rsidRPr="00353F24">
              <w:rPr>
                <w:rFonts w:cs="Arial"/>
                <w:b/>
                <w:bCs/>
                <w:sz w:val="20"/>
              </w:rPr>
              <w:t>18,929</w:t>
            </w:r>
          </w:p>
        </w:tc>
        <w:tc>
          <w:tcPr>
            <w:tcW w:w="1276" w:type="dxa"/>
            <w:tcBorders>
              <w:top w:val="nil"/>
              <w:left w:val="nil"/>
              <w:bottom w:val="single" w:sz="8" w:space="0" w:color="auto"/>
              <w:right w:val="single" w:sz="8" w:space="0" w:color="auto"/>
            </w:tcBorders>
            <w:shd w:val="clear" w:color="000000" w:fill="FFFFFF"/>
            <w:vAlign w:val="center"/>
          </w:tcPr>
          <w:p w14:paraId="354E48D4" w14:textId="6EB40D7A" w:rsidR="00353F24" w:rsidRPr="00353F24" w:rsidRDefault="00353F24" w:rsidP="00353F24">
            <w:pPr>
              <w:pStyle w:val="ListParagraph"/>
              <w:ind w:left="0"/>
              <w:jc w:val="right"/>
              <w:rPr>
                <w:rFonts w:cs="Arial"/>
                <w:sz w:val="20"/>
              </w:rPr>
            </w:pPr>
            <w:r w:rsidRPr="00353F24">
              <w:rPr>
                <w:rFonts w:cs="Arial"/>
                <w:b/>
                <w:bCs/>
                <w:sz w:val="20"/>
              </w:rPr>
              <w:t>-255</w:t>
            </w:r>
          </w:p>
        </w:tc>
        <w:tc>
          <w:tcPr>
            <w:tcW w:w="1134" w:type="dxa"/>
            <w:tcBorders>
              <w:top w:val="nil"/>
              <w:left w:val="nil"/>
              <w:bottom w:val="single" w:sz="8" w:space="0" w:color="auto"/>
              <w:right w:val="single" w:sz="8" w:space="0" w:color="auto"/>
            </w:tcBorders>
            <w:shd w:val="clear" w:color="000000" w:fill="FFFFFF"/>
            <w:vAlign w:val="center"/>
          </w:tcPr>
          <w:p w14:paraId="4D10697A" w14:textId="0C75E893" w:rsidR="00353F24" w:rsidRPr="00353F24" w:rsidRDefault="00353F24" w:rsidP="00353F24">
            <w:pPr>
              <w:pStyle w:val="ListParagraph"/>
              <w:ind w:left="0"/>
              <w:jc w:val="right"/>
              <w:rPr>
                <w:rFonts w:cs="Arial"/>
                <w:sz w:val="20"/>
              </w:rPr>
            </w:pPr>
            <w:r w:rsidRPr="00353F24">
              <w:rPr>
                <w:rFonts w:cs="Arial"/>
                <w:b/>
                <w:bCs/>
                <w:sz w:val="20"/>
              </w:rPr>
              <w:t>18,674</w:t>
            </w:r>
          </w:p>
        </w:tc>
        <w:tc>
          <w:tcPr>
            <w:tcW w:w="1134" w:type="dxa"/>
            <w:tcBorders>
              <w:top w:val="nil"/>
              <w:left w:val="nil"/>
              <w:bottom w:val="single" w:sz="8" w:space="0" w:color="auto"/>
              <w:right w:val="single" w:sz="8" w:space="0" w:color="auto"/>
            </w:tcBorders>
            <w:shd w:val="clear" w:color="000000" w:fill="FFFFFF"/>
            <w:vAlign w:val="center"/>
          </w:tcPr>
          <w:p w14:paraId="09AB47C3" w14:textId="22680E92" w:rsidR="00353F24" w:rsidRPr="00353F24" w:rsidRDefault="00353F24" w:rsidP="00353F24">
            <w:pPr>
              <w:pStyle w:val="ListParagraph"/>
              <w:ind w:left="0"/>
              <w:jc w:val="right"/>
              <w:rPr>
                <w:rFonts w:cs="Arial"/>
                <w:sz w:val="20"/>
              </w:rPr>
            </w:pPr>
            <w:r w:rsidRPr="00353F24">
              <w:rPr>
                <w:rFonts w:cs="Arial"/>
                <w:b/>
                <w:bCs/>
                <w:sz w:val="20"/>
              </w:rPr>
              <w:t>-340</w:t>
            </w:r>
          </w:p>
        </w:tc>
      </w:tr>
    </w:tbl>
    <w:p w14:paraId="6D50E562" w14:textId="537CD56A" w:rsidR="00007FDF" w:rsidRPr="00353F24" w:rsidRDefault="00007FDF" w:rsidP="00007FDF">
      <w:pPr>
        <w:jc w:val="both"/>
        <w:rPr>
          <w:rFonts w:cs="Arial"/>
          <w:b/>
          <w:szCs w:val="24"/>
        </w:rPr>
      </w:pPr>
    </w:p>
    <w:p w14:paraId="60B6077E" w14:textId="6BD44DB8" w:rsidR="00353F24" w:rsidRPr="00353F24" w:rsidRDefault="006476B6" w:rsidP="00AF06B3">
      <w:pPr>
        <w:pStyle w:val="ListParagraph"/>
        <w:numPr>
          <w:ilvl w:val="0"/>
          <w:numId w:val="4"/>
        </w:numPr>
        <w:ind w:left="567" w:hanging="567"/>
        <w:jc w:val="both"/>
        <w:rPr>
          <w:rFonts w:cs="Arial"/>
          <w:szCs w:val="24"/>
        </w:rPr>
      </w:pPr>
      <w:r w:rsidRPr="00353F24">
        <w:rPr>
          <w:rFonts w:cs="Arial"/>
          <w:szCs w:val="24"/>
        </w:rPr>
        <w:t xml:space="preserve">As at Q1 the directorate is reporting a net </w:t>
      </w:r>
      <w:r w:rsidR="00353F24" w:rsidRPr="00353F24">
        <w:rPr>
          <w:rFonts w:cs="Arial"/>
          <w:szCs w:val="24"/>
        </w:rPr>
        <w:t>under</w:t>
      </w:r>
      <w:r w:rsidRPr="00353F24">
        <w:rPr>
          <w:rFonts w:cs="Arial"/>
          <w:szCs w:val="24"/>
        </w:rPr>
        <w:t>spend of £</w:t>
      </w:r>
      <w:r w:rsidR="002F6F40" w:rsidRPr="00353F24">
        <w:rPr>
          <w:rFonts w:cs="Arial"/>
          <w:szCs w:val="24"/>
        </w:rPr>
        <w:t>34</w:t>
      </w:r>
      <w:r w:rsidR="00353F24" w:rsidRPr="00353F24">
        <w:rPr>
          <w:rFonts w:cs="Arial"/>
          <w:szCs w:val="24"/>
        </w:rPr>
        <w:t>0</w:t>
      </w:r>
      <w:r w:rsidRPr="00353F24">
        <w:rPr>
          <w:rFonts w:cs="Arial"/>
          <w:szCs w:val="24"/>
        </w:rPr>
        <w:t xml:space="preserve">k after drawdown from reserves. </w:t>
      </w:r>
    </w:p>
    <w:p w14:paraId="61D038BD" w14:textId="77777777" w:rsidR="00353F24" w:rsidRPr="00353F24" w:rsidRDefault="00353F24" w:rsidP="00353F24">
      <w:pPr>
        <w:jc w:val="both"/>
        <w:rPr>
          <w:rFonts w:cs="Arial"/>
          <w:szCs w:val="24"/>
        </w:rPr>
      </w:pPr>
    </w:p>
    <w:p w14:paraId="4B2D4492" w14:textId="152481DE" w:rsidR="00B83B56" w:rsidRDefault="00B83B56" w:rsidP="00AF06B3">
      <w:pPr>
        <w:pStyle w:val="ListParagraph"/>
        <w:numPr>
          <w:ilvl w:val="0"/>
          <w:numId w:val="4"/>
        </w:numPr>
        <w:ind w:left="567" w:hanging="567"/>
        <w:jc w:val="both"/>
        <w:rPr>
          <w:rFonts w:cs="Arial"/>
          <w:szCs w:val="24"/>
        </w:rPr>
      </w:pPr>
      <w:r w:rsidRPr="00353F24">
        <w:rPr>
          <w:rFonts w:cs="Arial"/>
          <w:szCs w:val="24"/>
        </w:rPr>
        <w:t>The reserve movements are shown in Table 3</w:t>
      </w:r>
    </w:p>
    <w:p w14:paraId="1DAC8874" w14:textId="77777777" w:rsidR="00FD4F48" w:rsidRDefault="00FD4F48" w:rsidP="00B83B56">
      <w:pPr>
        <w:jc w:val="both"/>
        <w:rPr>
          <w:rFonts w:cs="Arial"/>
          <w:b/>
          <w:bCs/>
          <w:szCs w:val="24"/>
          <w:u w:val="single"/>
        </w:rPr>
      </w:pPr>
    </w:p>
    <w:p w14:paraId="2B4FF76F" w14:textId="00871998" w:rsidR="00B83B56" w:rsidRPr="00353F24" w:rsidRDefault="00B83B56" w:rsidP="00B83B56">
      <w:pPr>
        <w:jc w:val="both"/>
        <w:rPr>
          <w:rFonts w:cs="Arial"/>
          <w:b/>
          <w:bCs/>
          <w:szCs w:val="24"/>
          <w:u w:val="single"/>
        </w:rPr>
      </w:pPr>
      <w:r w:rsidRPr="00353F24">
        <w:rPr>
          <w:rFonts w:cs="Arial"/>
          <w:b/>
          <w:bCs/>
          <w:szCs w:val="24"/>
          <w:u w:val="single"/>
        </w:rPr>
        <w:t xml:space="preserve">Table 3: </w:t>
      </w:r>
      <w:r w:rsidR="00A8393C">
        <w:rPr>
          <w:rFonts w:cs="Arial"/>
          <w:b/>
          <w:bCs/>
          <w:szCs w:val="24"/>
          <w:u w:val="single"/>
        </w:rPr>
        <w:t>Managing Director</w:t>
      </w:r>
      <w:r w:rsidRPr="00353F24">
        <w:rPr>
          <w:rFonts w:cs="Arial"/>
          <w:b/>
          <w:bCs/>
          <w:szCs w:val="24"/>
          <w:u w:val="single"/>
        </w:rPr>
        <w:t xml:space="preserve"> Reserve Movements </w:t>
      </w:r>
      <w:r w:rsidR="00353F24" w:rsidRPr="00353F24">
        <w:rPr>
          <w:rFonts w:cs="Arial"/>
          <w:b/>
          <w:bCs/>
          <w:szCs w:val="24"/>
          <w:u w:val="single"/>
        </w:rPr>
        <w:t>2023-24</w:t>
      </w:r>
    </w:p>
    <w:p w14:paraId="194C7BF6" w14:textId="263C50DB" w:rsidR="00B83B56" w:rsidRPr="00353F24" w:rsidRDefault="00B83B56" w:rsidP="00B83B56">
      <w:pPr>
        <w:jc w:val="both"/>
        <w:rPr>
          <w:rFonts w:cs="Arial"/>
          <w:szCs w:val="24"/>
        </w:rPr>
      </w:pPr>
    </w:p>
    <w:tbl>
      <w:tblPr>
        <w:tblStyle w:val="TableGrid"/>
        <w:tblW w:w="0" w:type="auto"/>
        <w:tblLook w:val="04A0" w:firstRow="1" w:lastRow="0" w:firstColumn="1" w:lastColumn="0" w:noHBand="0" w:noVBand="1"/>
      </w:tblPr>
      <w:tblGrid>
        <w:gridCol w:w="6786"/>
        <w:gridCol w:w="2233"/>
      </w:tblGrid>
      <w:tr w:rsidR="00353F24" w:rsidRPr="00353F24" w14:paraId="3015A182" w14:textId="77777777" w:rsidTr="00353F24">
        <w:tc>
          <w:tcPr>
            <w:tcW w:w="6786" w:type="dxa"/>
          </w:tcPr>
          <w:p w14:paraId="474A10D4" w14:textId="14587AB6" w:rsidR="00B83B56" w:rsidRPr="00353F24" w:rsidRDefault="00B83B56" w:rsidP="00B83B56">
            <w:pPr>
              <w:jc w:val="both"/>
              <w:rPr>
                <w:rFonts w:cs="Arial"/>
                <w:b/>
                <w:bCs/>
                <w:sz w:val="20"/>
              </w:rPr>
            </w:pPr>
            <w:r w:rsidRPr="00353F24">
              <w:rPr>
                <w:b/>
                <w:bCs/>
                <w:sz w:val="20"/>
              </w:rPr>
              <w:t xml:space="preserve">Description </w:t>
            </w:r>
          </w:p>
        </w:tc>
        <w:tc>
          <w:tcPr>
            <w:tcW w:w="2233" w:type="dxa"/>
          </w:tcPr>
          <w:p w14:paraId="7F746A0E" w14:textId="3904B131" w:rsidR="00B83B56" w:rsidRPr="00353F24" w:rsidRDefault="00B83B56" w:rsidP="00B83B56">
            <w:pPr>
              <w:jc w:val="both"/>
              <w:rPr>
                <w:rFonts w:cs="Arial"/>
                <w:b/>
                <w:bCs/>
                <w:sz w:val="20"/>
              </w:rPr>
            </w:pPr>
            <w:r w:rsidRPr="00353F24">
              <w:rPr>
                <w:b/>
                <w:bCs/>
                <w:sz w:val="20"/>
              </w:rPr>
              <w:t>Movement £’000</w:t>
            </w:r>
          </w:p>
        </w:tc>
      </w:tr>
      <w:tr w:rsidR="00353F24" w:rsidRPr="00353F24" w14:paraId="0A14251C" w14:textId="77777777" w:rsidTr="00353F24">
        <w:tc>
          <w:tcPr>
            <w:tcW w:w="6786" w:type="dxa"/>
          </w:tcPr>
          <w:p w14:paraId="3E715025" w14:textId="54CF74BD" w:rsidR="00B83B56" w:rsidRPr="00353F24" w:rsidRDefault="00B83B56" w:rsidP="00B83B56">
            <w:pPr>
              <w:jc w:val="both"/>
              <w:rPr>
                <w:rFonts w:cs="Arial"/>
                <w:sz w:val="20"/>
              </w:rPr>
            </w:pPr>
            <w:r w:rsidRPr="00353F24">
              <w:rPr>
                <w:sz w:val="20"/>
              </w:rPr>
              <w:t>Insurance Reserve</w:t>
            </w:r>
          </w:p>
        </w:tc>
        <w:tc>
          <w:tcPr>
            <w:tcW w:w="2233" w:type="dxa"/>
          </w:tcPr>
          <w:p w14:paraId="1C1C707D" w14:textId="35BE5A2A" w:rsidR="00B83B56" w:rsidRPr="00353F24" w:rsidRDefault="00B83B56" w:rsidP="00B83B56">
            <w:pPr>
              <w:jc w:val="right"/>
              <w:rPr>
                <w:rFonts w:cs="Arial"/>
                <w:sz w:val="20"/>
              </w:rPr>
            </w:pPr>
            <w:r w:rsidRPr="00353F24">
              <w:rPr>
                <w:sz w:val="20"/>
              </w:rPr>
              <w:t>-255</w:t>
            </w:r>
          </w:p>
        </w:tc>
      </w:tr>
      <w:tr w:rsidR="00353F24" w:rsidRPr="00353F24" w14:paraId="3AE0E90E" w14:textId="77777777" w:rsidTr="00353F24">
        <w:tc>
          <w:tcPr>
            <w:tcW w:w="6786" w:type="dxa"/>
          </w:tcPr>
          <w:p w14:paraId="7A6FD043" w14:textId="6B175914" w:rsidR="00B83B56" w:rsidRPr="00353F24" w:rsidRDefault="00A8393C" w:rsidP="00B83B56">
            <w:pPr>
              <w:jc w:val="both"/>
              <w:rPr>
                <w:rFonts w:cs="Arial"/>
                <w:b/>
                <w:bCs/>
                <w:sz w:val="20"/>
              </w:rPr>
            </w:pPr>
            <w:r>
              <w:rPr>
                <w:b/>
                <w:bCs/>
                <w:sz w:val="20"/>
              </w:rPr>
              <w:t>Managing Director</w:t>
            </w:r>
            <w:r w:rsidR="00353F24" w:rsidRPr="00353F24">
              <w:rPr>
                <w:b/>
                <w:bCs/>
                <w:sz w:val="20"/>
              </w:rPr>
              <w:t xml:space="preserve"> </w:t>
            </w:r>
            <w:r w:rsidR="00B83B56" w:rsidRPr="00353F24">
              <w:rPr>
                <w:b/>
                <w:bCs/>
                <w:sz w:val="20"/>
              </w:rPr>
              <w:t>net draw down</w:t>
            </w:r>
          </w:p>
        </w:tc>
        <w:tc>
          <w:tcPr>
            <w:tcW w:w="2233" w:type="dxa"/>
          </w:tcPr>
          <w:p w14:paraId="2E9590CE" w14:textId="05F2D1A1" w:rsidR="00B83B56" w:rsidRPr="00353F24" w:rsidRDefault="00B83B56" w:rsidP="00B83B56">
            <w:pPr>
              <w:jc w:val="right"/>
              <w:rPr>
                <w:rFonts w:cs="Arial"/>
                <w:b/>
                <w:bCs/>
                <w:sz w:val="20"/>
              </w:rPr>
            </w:pPr>
            <w:r w:rsidRPr="00353F24">
              <w:rPr>
                <w:b/>
                <w:bCs/>
                <w:sz w:val="20"/>
              </w:rPr>
              <w:t>-</w:t>
            </w:r>
            <w:r w:rsidR="00353F24" w:rsidRPr="00353F24">
              <w:rPr>
                <w:b/>
                <w:bCs/>
                <w:sz w:val="20"/>
              </w:rPr>
              <w:t>255</w:t>
            </w:r>
          </w:p>
        </w:tc>
      </w:tr>
    </w:tbl>
    <w:p w14:paraId="72F695C8" w14:textId="77777777" w:rsidR="00B83B56" w:rsidRPr="00353F24" w:rsidRDefault="00B83B56" w:rsidP="00B83B56">
      <w:pPr>
        <w:jc w:val="both"/>
        <w:rPr>
          <w:rFonts w:cs="Arial"/>
          <w:szCs w:val="24"/>
        </w:rPr>
      </w:pPr>
    </w:p>
    <w:p w14:paraId="6DB3E371" w14:textId="77777777" w:rsidR="00E971A9" w:rsidRPr="00353F24" w:rsidRDefault="00E971A9" w:rsidP="00E971A9">
      <w:pPr>
        <w:pStyle w:val="ListParagraph"/>
        <w:ind w:left="567"/>
        <w:jc w:val="both"/>
        <w:rPr>
          <w:rFonts w:cs="Arial"/>
          <w:szCs w:val="24"/>
        </w:rPr>
      </w:pPr>
    </w:p>
    <w:p w14:paraId="3F164191" w14:textId="265C229A" w:rsidR="006476B6" w:rsidRPr="00353F24" w:rsidRDefault="006476B6" w:rsidP="00AF06B3">
      <w:pPr>
        <w:pStyle w:val="ListParagraph"/>
        <w:numPr>
          <w:ilvl w:val="0"/>
          <w:numId w:val="4"/>
        </w:numPr>
        <w:ind w:left="567" w:hanging="567"/>
        <w:jc w:val="both"/>
        <w:rPr>
          <w:rFonts w:cs="Arial"/>
          <w:szCs w:val="24"/>
        </w:rPr>
      </w:pPr>
      <w:r w:rsidRPr="00353F24">
        <w:rPr>
          <w:rFonts w:cs="Arial"/>
          <w:szCs w:val="24"/>
        </w:rPr>
        <w:t xml:space="preserve">The net </w:t>
      </w:r>
      <w:r w:rsidR="00353F24" w:rsidRPr="00353F24">
        <w:rPr>
          <w:rFonts w:cs="Arial"/>
          <w:szCs w:val="24"/>
        </w:rPr>
        <w:t>under</w:t>
      </w:r>
      <w:r w:rsidRPr="00353F24">
        <w:rPr>
          <w:rFonts w:cs="Arial"/>
          <w:szCs w:val="24"/>
        </w:rPr>
        <w:t>spend of £</w:t>
      </w:r>
      <w:r w:rsidR="002F6F40" w:rsidRPr="00353F24">
        <w:rPr>
          <w:rFonts w:cs="Arial"/>
          <w:szCs w:val="24"/>
        </w:rPr>
        <w:t>34</w:t>
      </w:r>
      <w:r w:rsidR="00353F24" w:rsidRPr="00353F24">
        <w:rPr>
          <w:rFonts w:cs="Arial"/>
          <w:szCs w:val="24"/>
        </w:rPr>
        <w:t>0</w:t>
      </w:r>
      <w:r w:rsidRPr="00353F24">
        <w:rPr>
          <w:rFonts w:cs="Arial"/>
          <w:szCs w:val="24"/>
        </w:rPr>
        <w:t>k is made up as follows:</w:t>
      </w:r>
    </w:p>
    <w:p w14:paraId="4C36797A" w14:textId="6BCA9CA6" w:rsidR="00B83B56" w:rsidRPr="00353F24" w:rsidRDefault="006476B6" w:rsidP="00353F24">
      <w:pPr>
        <w:pStyle w:val="ListParagraph"/>
        <w:numPr>
          <w:ilvl w:val="1"/>
          <w:numId w:val="4"/>
        </w:numPr>
        <w:ind w:left="1418" w:hanging="567"/>
        <w:jc w:val="both"/>
        <w:rPr>
          <w:rFonts w:cs="Arial"/>
          <w:szCs w:val="24"/>
        </w:rPr>
      </w:pPr>
      <w:r w:rsidRPr="00353F24">
        <w:rPr>
          <w:rFonts w:cs="Arial"/>
          <w:b/>
          <w:bCs/>
          <w:szCs w:val="24"/>
        </w:rPr>
        <w:t>Legal &amp; Governance</w:t>
      </w:r>
      <w:r w:rsidRPr="00353F24">
        <w:rPr>
          <w:rFonts w:cs="Arial"/>
          <w:szCs w:val="24"/>
        </w:rPr>
        <w:t xml:space="preserve"> - </w:t>
      </w:r>
      <w:r w:rsidR="00353F24" w:rsidRPr="00353F24">
        <w:rPr>
          <w:rFonts w:cs="Arial"/>
          <w:szCs w:val="24"/>
        </w:rPr>
        <w:t>£340k net underspend due to additional Land Charges and Registrars income and delayed recruitment</w:t>
      </w:r>
    </w:p>
    <w:p w14:paraId="687CFD97" w14:textId="7EFB9AAF" w:rsidR="00B83B56" w:rsidRDefault="00B83B56" w:rsidP="00B83B56">
      <w:pPr>
        <w:jc w:val="both"/>
        <w:rPr>
          <w:rFonts w:cs="Arial"/>
          <w:color w:val="FF0000"/>
          <w:szCs w:val="24"/>
        </w:rPr>
      </w:pPr>
    </w:p>
    <w:p w14:paraId="156A35E5" w14:textId="77777777" w:rsidR="00FD4F48" w:rsidRDefault="00FD4F48" w:rsidP="00B83B56">
      <w:pPr>
        <w:jc w:val="both"/>
        <w:rPr>
          <w:rFonts w:cs="Arial"/>
          <w:color w:val="FF0000"/>
          <w:szCs w:val="24"/>
        </w:rPr>
      </w:pPr>
    </w:p>
    <w:p w14:paraId="0D808561" w14:textId="214C9965" w:rsidR="00353F24" w:rsidRPr="00353F24" w:rsidRDefault="00353F24" w:rsidP="00353F24">
      <w:pPr>
        <w:jc w:val="both"/>
        <w:rPr>
          <w:rFonts w:cs="Arial"/>
          <w:b/>
          <w:szCs w:val="24"/>
        </w:rPr>
      </w:pPr>
      <w:r>
        <w:rPr>
          <w:rFonts w:cs="Arial"/>
          <w:b/>
          <w:szCs w:val="24"/>
        </w:rPr>
        <w:t>RESOURCES</w:t>
      </w:r>
    </w:p>
    <w:p w14:paraId="16899CB4" w14:textId="77777777" w:rsidR="00353F24" w:rsidRPr="00353F24" w:rsidRDefault="00353F24" w:rsidP="00353F24">
      <w:pPr>
        <w:jc w:val="both"/>
        <w:rPr>
          <w:rFonts w:cs="Arial"/>
          <w:b/>
          <w:szCs w:val="24"/>
        </w:rPr>
      </w:pPr>
    </w:p>
    <w:p w14:paraId="384D5D4A" w14:textId="59D92E67" w:rsidR="00353F24" w:rsidRPr="00353F24" w:rsidRDefault="00353F24" w:rsidP="00353F24">
      <w:pPr>
        <w:jc w:val="both"/>
        <w:rPr>
          <w:rFonts w:cs="Arial"/>
          <w:b/>
          <w:szCs w:val="24"/>
          <w:u w:val="single"/>
        </w:rPr>
      </w:pPr>
      <w:r w:rsidRPr="00353F24">
        <w:rPr>
          <w:rFonts w:cs="Arial"/>
          <w:b/>
          <w:szCs w:val="24"/>
          <w:u w:val="single"/>
        </w:rPr>
        <w:t xml:space="preserve">Table </w:t>
      </w:r>
      <w:r>
        <w:rPr>
          <w:rFonts w:cs="Arial"/>
          <w:b/>
          <w:szCs w:val="24"/>
          <w:u w:val="single"/>
        </w:rPr>
        <w:t>4</w:t>
      </w:r>
      <w:r w:rsidRPr="00353F24">
        <w:rPr>
          <w:rFonts w:cs="Arial"/>
          <w:b/>
          <w:szCs w:val="24"/>
          <w:u w:val="single"/>
        </w:rPr>
        <w:t xml:space="preserve">: </w:t>
      </w:r>
      <w:r>
        <w:rPr>
          <w:rFonts w:cs="Arial"/>
          <w:b/>
          <w:szCs w:val="24"/>
          <w:u w:val="single"/>
        </w:rPr>
        <w:t>Resources</w:t>
      </w:r>
      <w:r w:rsidRPr="00353F24">
        <w:rPr>
          <w:rFonts w:cs="Arial"/>
          <w:b/>
          <w:szCs w:val="24"/>
          <w:u w:val="single"/>
        </w:rPr>
        <w:t xml:space="preserve"> Forecast Outturn Q1 2023-24</w:t>
      </w:r>
    </w:p>
    <w:p w14:paraId="0B00A6B2" w14:textId="77777777" w:rsidR="00353F24" w:rsidRPr="00353F24" w:rsidRDefault="00353F24" w:rsidP="00353F24">
      <w:pPr>
        <w:jc w:val="both"/>
        <w:rPr>
          <w:rFonts w:cs="Arial"/>
          <w:b/>
          <w:szCs w:val="24"/>
        </w:rPr>
      </w:pPr>
    </w:p>
    <w:tbl>
      <w:tblPr>
        <w:tblStyle w:val="TableGrid"/>
        <w:tblW w:w="9923" w:type="dxa"/>
        <w:tblInd w:w="-10" w:type="dxa"/>
        <w:tblLook w:val="04A0" w:firstRow="1" w:lastRow="0" w:firstColumn="1" w:lastColumn="0" w:noHBand="0" w:noVBand="1"/>
      </w:tblPr>
      <w:tblGrid>
        <w:gridCol w:w="4253"/>
        <w:gridCol w:w="992"/>
        <w:gridCol w:w="1134"/>
        <w:gridCol w:w="1276"/>
        <w:gridCol w:w="1134"/>
        <w:gridCol w:w="1134"/>
      </w:tblGrid>
      <w:tr w:rsidR="00353F24" w:rsidRPr="00353F24" w14:paraId="7E41EE2F" w14:textId="77777777" w:rsidTr="00A47592">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3307A0BB" w14:textId="77777777" w:rsidR="00353F24" w:rsidRPr="00353F24" w:rsidRDefault="00353F24" w:rsidP="00A47592">
            <w:pPr>
              <w:pStyle w:val="ListParagraph"/>
              <w:ind w:left="0"/>
              <w:jc w:val="both"/>
              <w:rPr>
                <w:rFonts w:cs="Arial"/>
                <w:b/>
                <w:sz w:val="20"/>
              </w:rPr>
            </w:pPr>
            <w:r w:rsidRPr="00353F24">
              <w:rPr>
                <w:rFonts w:cs="Arial"/>
                <w:b/>
                <w:bCs/>
                <w:sz w:val="20"/>
              </w:rPr>
              <w:t>Division</w:t>
            </w:r>
          </w:p>
        </w:tc>
        <w:tc>
          <w:tcPr>
            <w:tcW w:w="992" w:type="dxa"/>
            <w:tcBorders>
              <w:top w:val="single" w:sz="8" w:space="0" w:color="auto"/>
              <w:left w:val="nil"/>
              <w:bottom w:val="single" w:sz="8" w:space="0" w:color="auto"/>
              <w:right w:val="single" w:sz="8" w:space="0" w:color="auto"/>
            </w:tcBorders>
            <w:shd w:val="clear" w:color="auto" w:fill="auto"/>
            <w:vAlign w:val="center"/>
          </w:tcPr>
          <w:p w14:paraId="46ADE3E6" w14:textId="77777777" w:rsidR="00353F24" w:rsidRPr="00353F24" w:rsidRDefault="00353F24" w:rsidP="00A47592">
            <w:pPr>
              <w:pStyle w:val="ListParagraph"/>
              <w:ind w:left="0"/>
              <w:jc w:val="center"/>
              <w:rPr>
                <w:rFonts w:cs="Arial"/>
                <w:b/>
                <w:sz w:val="20"/>
              </w:rPr>
            </w:pPr>
            <w:r w:rsidRPr="00353F24">
              <w:rPr>
                <w:rFonts w:cs="Arial"/>
                <w:b/>
                <w:bCs/>
                <w:sz w:val="20"/>
              </w:rPr>
              <w:t>Budget</w:t>
            </w:r>
          </w:p>
        </w:tc>
        <w:tc>
          <w:tcPr>
            <w:tcW w:w="1134" w:type="dxa"/>
            <w:tcBorders>
              <w:top w:val="single" w:sz="8" w:space="0" w:color="auto"/>
              <w:left w:val="nil"/>
              <w:bottom w:val="single" w:sz="8" w:space="0" w:color="auto"/>
              <w:right w:val="single" w:sz="8" w:space="0" w:color="auto"/>
            </w:tcBorders>
            <w:shd w:val="clear" w:color="auto" w:fill="auto"/>
            <w:vAlign w:val="center"/>
          </w:tcPr>
          <w:p w14:paraId="180CD0B7" w14:textId="77777777" w:rsidR="00353F24" w:rsidRPr="00353F24" w:rsidRDefault="00353F24" w:rsidP="00A47592">
            <w:pPr>
              <w:pStyle w:val="ListParagraph"/>
              <w:ind w:left="0"/>
              <w:jc w:val="center"/>
              <w:rPr>
                <w:rFonts w:cs="Arial"/>
                <w:b/>
                <w:sz w:val="20"/>
              </w:rPr>
            </w:pPr>
            <w:r w:rsidRPr="00353F24">
              <w:rPr>
                <w:rFonts w:cs="Arial"/>
                <w:b/>
                <w:bCs/>
                <w:sz w:val="20"/>
              </w:rPr>
              <w:t>Forecast</w:t>
            </w:r>
          </w:p>
        </w:tc>
        <w:tc>
          <w:tcPr>
            <w:tcW w:w="1276" w:type="dxa"/>
            <w:tcBorders>
              <w:top w:val="single" w:sz="8" w:space="0" w:color="auto"/>
              <w:left w:val="nil"/>
              <w:bottom w:val="single" w:sz="8" w:space="0" w:color="auto"/>
              <w:right w:val="single" w:sz="8" w:space="0" w:color="auto"/>
            </w:tcBorders>
            <w:shd w:val="clear" w:color="auto" w:fill="auto"/>
            <w:vAlign w:val="center"/>
          </w:tcPr>
          <w:p w14:paraId="3EAFAE02" w14:textId="77777777" w:rsidR="00353F24" w:rsidRPr="00353F24" w:rsidRDefault="00353F24" w:rsidP="00A47592">
            <w:pPr>
              <w:pStyle w:val="ListParagraph"/>
              <w:ind w:left="0"/>
              <w:jc w:val="center"/>
              <w:rPr>
                <w:rFonts w:cs="Arial"/>
                <w:b/>
                <w:sz w:val="20"/>
              </w:rPr>
            </w:pPr>
            <w:r w:rsidRPr="00353F24">
              <w:rPr>
                <w:rFonts w:cs="Arial"/>
                <w:b/>
                <w:bCs/>
                <w:sz w:val="20"/>
              </w:rPr>
              <w:t>To/ (From) Reserves</w:t>
            </w:r>
          </w:p>
        </w:tc>
        <w:tc>
          <w:tcPr>
            <w:tcW w:w="1134" w:type="dxa"/>
            <w:tcBorders>
              <w:top w:val="single" w:sz="8" w:space="0" w:color="auto"/>
              <w:left w:val="nil"/>
              <w:bottom w:val="single" w:sz="8" w:space="0" w:color="auto"/>
              <w:right w:val="single" w:sz="8" w:space="0" w:color="auto"/>
            </w:tcBorders>
            <w:shd w:val="clear" w:color="auto" w:fill="auto"/>
            <w:vAlign w:val="center"/>
          </w:tcPr>
          <w:p w14:paraId="74B35F09" w14:textId="77777777" w:rsidR="00353F24" w:rsidRPr="00353F24" w:rsidRDefault="00353F24" w:rsidP="00A47592">
            <w:pPr>
              <w:pStyle w:val="ListParagraph"/>
              <w:ind w:left="0"/>
              <w:jc w:val="center"/>
              <w:rPr>
                <w:rFonts w:cs="Arial"/>
                <w:b/>
                <w:sz w:val="20"/>
              </w:rPr>
            </w:pPr>
            <w:r w:rsidRPr="00353F24">
              <w:rPr>
                <w:rFonts w:cs="Arial"/>
                <w:b/>
                <w:bCs/>
                <w:sz w:val="20"/>
              </w:rPr>
              <w:t>Revised Forecast</w:t>
            </w:r>
          </w:p>
        </w:tc>
        <w:tc>
          <w:tcPr>
            <w:tcW w:w="1134" w:type="dxa"/>
            <w:tcBorders>
              <w:top w:val="single" w:sz="8" w:space="0" w:color="auto"/>
              <w:left w:val="nil"/>
              <w:bottom w:val="single" w:sz="8" w:space="0" w:color="auto"/>
              <w:right w:val="single" w:sz="8" w:space="0" w:color="auto"/>
            </w:tcBorders>
            <w:shd w:val="clear" w:color="auto" w:fill="auto"/>
            <w:vAlign w:val="center"/>
          </w:tcPr>
          <w:p w14:paraId="2051D415" w14:textId="77777777" w:rsidR="00353F24" w:rsidRPr="00353F24" w:rsidRDefault="00353F24" w:rsidP="00A47592">
            <w:pPr>
              <w:pStyle w:val="ListParagraph"/>
              <w:ind w:left="0"/>
              <w:jc w:val="center"/>
              <w:rPr>
                <w:rFonts w:cs="Arial"/>
                <w:b/>
                <w:sz w:val="20"/>
              </w:rPr>
            </w:pPr>
            <w:r w:rsidRPr="00353F24">
              <w:rPr>
                <w:rFonts w:cs="Arial"/>
                <w:b/>
                <w:bCs/>
                <w:sz w:val="20"/>
              </w:rPr>
              <w:t>Variance to budget</w:t>
            </w:r>
          </w:p>
        </w:tc>
      </w:tr>
      <w:tr w:rsidR="00353F24" w:rsidRPr="00353F24" w14:paraId="53D52DE6"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425B88FF" w14:textId="77777777" w:rsidR="00353F24" w:rsidRPr="00353F24" w:rsidRDefault="00353F24" w:rsidP="00A47592">
            <w:pPr>
              <w:pStyle w:val="ListParagraph"/>
              <w:ind w:left="0"/>
              <w:jc w:val="both"/>
              <w:rPr>
                <w:rFonts w:cs="Arial"/>
                <w:b/>
                <w:sz w:val="20"/>
              </w:rPr>
            </w:pPr>
            <w:r w:rsidRPr="00353F24">
              <w:rPr>
                <w:rFonts w:cs="Arial"/>
                <w:b/>
                <w:bCs/>
                <w:sz w:val="20"/>
              </w:rPr>
              <w:t> </w:t>
            </w:r>
          </w:p>
        </w:tc>
        <w:tc>
          <w:tcPr>
            <w:tcW w:w="992" w:type="dxa"/>
            <w:tcBorders>
              <w:top w:val="nil"/>
              <w:left w:val="nil"/>
              <w:bottom w:val="single" w:sz="8" w:space="0" w:color="auto"/>
              <w:right w:val="single" w:sz="8" w:space="0" w:color="auto"/>
            </w:tcBorders>
            <w:shd w:val="clear" w:color="auto" w:fill="auto"/>
            <w:vAlign w:val="center"/>
          </w:tcPr>
          <w:p w14:paraId="4CA3654B" w14:textId="77777777" w:rsidR="00353F24" w:rsidRPr="00353F24" w:rsidRDefault="00353F24" w:rsidP="00A47592">
            <w:pPr>
              <w:pStyle w:val="ListParagraph"/>
              <w:ind w:left="0"/>
              <w:jc w:val="center"/>
              <w:rPr>
                <w:rFonts w:cs="Arial"/>
                <w:b/>
                <w:sz w:val="20"/>
              </w:rPr>
            </w:pPr>
            <w:r w:rsidRPr="00353F24">
              <w:rPr>
                <w:rFonts w:cs="Arial"/>
                <w:b/>
                <w:bCs/>
                <w:sz w:val="20"/>
              </w:rPr>
              <w:t>£000</w:t>
            </w:r>
          </w:p>
        </w:tc>
        <w:tc>
          <w:tcPr>
            <w:tcW w:w="1134" w:type="dxa"/>
            <w:tcBorders>
              <w:top w:val="nil"/>
              <w:left w:val="nil"/>
              <w:bottom w:val="single" w:sz="8" w:space="0" w:color="auto"/>
              <w:right w:val="single" w:sz="8" w:space="0" w:color="auto"/>
            </w:tcBorders>
            <w:shd w:val="clear" w:color="auto" w:fill="auto"/>
            <w:vAlign w:val="center"/>
          </w:tcPr>
          <w:p w14:paraId="3371D31A" w14:textId="77777777" w:rsidR="00353F24" w:rsidRPr="00353F24" w:rsidRDefault="00353F24" w:rsidP="00A47592">
            <w:pPr>
              <w:pStyle w:val="ListParagraph"/>
              <w:ind w:left="0"/>
              <w:jc w:val="center"/>
              <w:rPr>
                <w:rFonts w:cs="Arial"/>
                <w:b/>
                <w:sz w:val="20"/>
              </w:rPr>
            </w:pPr>
            <w:r w:rsidRPr="00353F24">
              <w:rPr>
                <w:rFonts w:cs="Arial"/>
                <w:b/>
                <w:bCs/>
                <w:sz w:val="20"/>
              </w:rPr>
              <w:t>£000</w:t>
            </w:r>
          </w:p>
        </w:tc>
        <w:tc>
          <w:tcPr>
            <w:tcW w:w="1276" w:type="dxa"/>
            <w:tcBorders>
              <w:top w:val="nil"/>
              <w:left w:val="nil"/>
              <w:bottom w:val="single" w:sz="8" w:space="0" w:color="auto"/>
              <w:right w:val="single" w:sz="8" w:space="0" w:color="auto"/>
            </w:tcBorders>
            <w:shd w:val="clear" w:color="auto" w:fill="auto"/>
            <w:vAlign w:val="center"/>
          </w:tcPr>
          <w:p w14:paraId="30BC52A8" w14:textId="77777777" w:rsidR="00353F24" w:rsidRPr="00353F24" w:rsidRDefault="00353F24" w:rsidP="00A47592">
            <w:pPr>
              <w:pStyle w:val="ListParagraph"/>
              <w:ind w:left="0"/>
              <w:jc w:val="center"/>
              <w:rPr>
                <w:rFonts w:cs="Arial"/>
                <w:b/>
                <w:sz w:val="20"/>
              </w:rPr>
            </w:pPr>
            <w:r w:rsidRPr="00353F24">
              <w:rPr>
                <w:rFonts w:cs="Arial"/>
                <w:b/>
                <w:bCs/>
                <w:sz w:val="20"/>
              </w:rPr>
              <w:t>£000</w:t>
            </w:r>
          </w:p>
        </w:tc>
        <w:tc>
          <w:tcPr>
            <w:tcW w:w="1134" w:type="dxa"/>
            <w:tcBorders>
              <w:top w:val="nil"/>
              <w:left w:val="nil"/>
              <w:bottom w:val="single" w:sz="8" w:space="0" w:color="auto"/>
              <w:right w:val="single" w:sz="8" w:space="0" w:color="auto"/>
            </w:tcBorders>
            <w:shd w:val="clear" w:color="auto" w:fill="auto"/>
            <w:vAlign w:val="center"/>
          </w:tcPr>
          <w:p w14:paraId="43BBB213" w14:textId="77777777" w:rsidR="00353F24" w:rsidRPr="00353F24" w:rsidRDefault="00353F24" w:rsidP="00A47592">
            <w:pPr>
              <w:pStyle w:val="ListParagraph"/>
              <w:ind w:left="0"/>
              <w:jc w:val="center"/>
              <w:rPr>
                <w:rFonts w:cs="Arial"/>
                <w:b/>
                <w:sz w:val="20"/>
              </w:rPr>
            </w:pPr>
            <w:r w:rsidRPr="00353F24">
              <w:rPr>
                <w:rFonts w:cs="Arial"/>
                <w:b/>
                <w:bCs/>
                <w:sz w:val="20"/>
              </w:rPr>
              <w:t>£000</w:t>
            </w:r>
          </w:p>
        </w:tc>
        <w:tc>
          <w:tcPr>
            <w:tcW w:w="1134" w:type="dxa"/>
            <w:tcBorders>
              <w:top w:val="nil"/>
              <w:left w:val="nil"/>
              <w:bottom w:val="single" w:sz="8" w:space="0" w:color="auto"/>
              <w:right w:val="single" w:sz="8" w:space="0" w:color="auto"/>
            </w:tcBorders>
            <w:shd w:val="clear" w:color="auto" w:fill="auto"/>
            <w:vAlign w:val="center"/>
          </w:tcPr>
          <w:p w14:paraId="12AB61D7" w14:textId="77777777" w:rsidR="00353F24" w:rsidRPr="00353F24" w:rsidRDefault="00353F24" w:rsidP="00A47592">
            <w:pPr>
              <w:pStyle w:val="ListParagraph"/>
              <w:ind w:left="0"/>
              <w:jc w:val="center"/>
              <w:rPr>
                <w:rFonts w:cs="Arial"/>
                <w:b/>
                <w:sz w:val="20"/>
              </w:rPr>
            </w:pPr>
            <w:r w:rsidRPr="00353F24">
              <w:rPr>
                <w:rFonts w:cs="Arial"/>
                <w:b/>
                <w:bCs/>
                <w:sz w:val="20"/>
              </w:rPr>
              <w:t>£000</w:t>
            </w:r>
          </w:p>
        </w:tc>
      </w:tr>
      <w:tr w:rsidR="008D06A8" w:rsidRPr="00353F24" w14:paraId="7ACB7DAA"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344EC49F" w14:textId="5B707FA4" w:rsidR="008D06A8" w:rsidRPr="00353F24" w:rsidRDefault="008D06A8" w:rsidP="008D06A8">
            <w:pPr>
              <w:pStyle w:val="ListParagraph"/>
              <w:ind w:left="0"/>
              <w:rPr>
                <w:rFonts w:cs="Arial"/>
                <w:bCs/>
                <w:sz w:val="20"/>
              </w:rPr>
            </w:pPr>
            <w:r>
              <w:rPr>
                <w:rFonts w:cs="Arial"/>
                <w:color w:val="000000"/>
                <w:sz w:val="20"/>
              </w:rPr>
              <w:t>Business Support</w:t>
            </w:r>
          </w:p>
        </w:tc>
        <w:tc>
          <w:tcPr>
            <w:tcW w:w="992" w:type="dxa"/>
            <w:tcBorders>
              <w:top w:val="nil"/>
              <w:left w:val="nil"/>
              <w:bottom w:val="single" w:sz="8" w:space="0" w:color="auto"/>
              <w:right w:val="single" w:sz="8" w:space="0" w:color="auto"/>
            </w:tcBorders>
            <w:shd w:val="clear" w:color="000000" w:fill="FFFFFF"/>
            <w:vAlign w:val="center"/>
          </w:tcPr>
          <w:p w14:paraId="4CD9C919" w14:textId="1FEEAB10" w:rsidR="008D06A8" w:rsidRPr="00353F24" w:rsidRDefault="008D06A8" w:rsidP="008D06A8">
            <w:pPr>
              <w:pStyle w:val="ListParagraph"/>
              <w:ind w:left="0"/>
              <w:jc w:val="right"/>
              <w:rPr>
                <w:rFonts w:cs="Arial"/>
                <w:bCs/>
                <w:sz w:val="20"/>
              </w:rPr>
            </w:pPr>
            <w:r>
              <w:rPr>
                <w:rFonts w:cs="Arial"/>
                <w:color w:val="000000"/>
                <w:sz w:val="20"/>
              </w:rPr>
              <w:t>4,042</w:t>
            </w:r>
          </w:p>
        </w:tc>
        <w:tc>
          <w:tcPr>
            <w:tcW w:w="1134" w:type="dxa"/>
            <w:tcBorders>
              <w:top w:val="nil"/>
              <w:left w:val="nil"/>
              <w:bottom w:val="single" w:sz="8" w:space="0" w:color="auto"/>
              <w:right w:val="single" w:sz="8" w:space="0" w:color="auto"/>
            </w:tcBorders>
            <w:shd w:val="clear" w:color="000000" w:fill="FFFFFF"/>
            <w:vAlign w:val="center"/>
          </w:tcPr>
          <w:p w14:paraId="5A04ACE8" w14:textId="0B5464E2" w:rsidR="008D06A8" w:rsidRPr="00353F24" w:rsidRDefault="008D06A8" w:rsidP="008D06A8">
            <w:pPr>
              <w:pStyle w:val="ListParagraph"/>
              <w:ind w:left="0"/>
              <w:jc w:val="right"/>
              <w:rPr>
                <w:rFonts w:cs="Arial"/>
                <w:bCs/>
                <w:sz w:val="20"/>
              </w:rPr>
            </w:pPr>
            <w:r>
              <w:rPr>
                <w:rFonts w:cs="Arial"/>
                <w:color w:val="000000"/>
                <w:sz w:val="20"/>
              </w:rPr>
              <w:t>4,042</w:t>
            </w:r>
          </w:p>
        </w:tc>
        <w:tc>
          <w:tcPr>
            <w:tcW w:w="1276" w:type="dxa"/>
            <w:tcBorders>
              <w:top w:val="nil"/>
              <w:left w:val="nil"/>
              <w:bottom w:val="single" w:sz="8" w:space="0" w:color="auto"/>
              <w:right w:val="single" w:sz="8" w:space="0" w:color="auto"/>
            </w:tcBorders>
            <w:shd w:val="clear" w:color="000000" w:fill="FFFFFF"/>
            <w:vAlign w:val="center"/>
          </w:tcPr>
          <w:p w14:paraId="006A1E8C" w14:textId="33AA3070" w:rsidR="008D06A8" w:rsidRPr="00353F24" w:rsidRDefault="008D06A8" w:rsidP="008D06A8">
            <w:pPr>
              <w:pStyle w:val="ListParagraph"/>
              <w:ind w:left="0"/>
              <w:jc w:val="right"/>
              <w:rPr>
                <w:rFonts w:cs="Arial"/>
                <w:bCs/>
                <w:sz w:val="20"/>
              </w:rPr>
            </w:pPr>
            <w:r>
              <w:rPr>
                <w:rFonts w:cs="Arial"/>
                <w:color w:val="000000"/>
                <w:sz w:val="20"/>
              </w:rPr>
              <w:t>0</w:t>
            </w:r>
          </w:p>
        </w:tc>
        <w:tc>
          <w:tcPr>
            <w:tcW w:w="1134" w:type="dxa"/>
            <w:tcBorders>
              <w:top w:val="nil"/>
              <w:left w:val="nil"/>
              <w:bottom w:val="single" w:sz="8" w:space="0" w:color="auto"/>
              <w:right w:val="single" w:sz="8" w:space="0" w:color="auto"/>
            </w:tcBorders>
            <w:shd w:val="clear" w:color="auto" w:fill="auto"/>
            <w:vAlign w:val="center"/>
          </w:tcPr>
          <w:p w14:paraId="0222814F" w14:textId="60EF577D" w:rsidR="008D06A8" w:rsidRPr="00353F24" w:rsidRDefault="008D06A8" w:rsidP="008D06A8">
            <w:pPr>
              <w:pStyle w:val="ListParagraph"/>
              <w:ind w:left="0"/>
              <w:jc w:val="right"/>
              <w:rPr>
                <w:rFonts w:cs="Arial"/>
                <w:bCs/>
                <w:sz w:val="20"/>
              </w:rPr>
            </w:pPr>
            <w:r>
              <w:rPr>
                <w:rFonts w:cs="Arial"/>
                <w:color w:val="000000"/>
                <w:sz w:val="20"/>
              </w:rPr>
              <w:t>4,042</w:t>
            </w:r>
          </w:p>
        </w:tc>
        <w:tc>
          <w:tcPr>
            <w:tcW w:w="1134" w:type="dxa"/>
            <w:tcBorders>
              <w:top w:val="nil"/>
              <w:left w:val="nil"/>
              <w:bottom w:val="single" w:sz="8" w:space="0" w:color="auto"/>
              <w:right w:val="single" w:sz="8" w:space="0" w:color="auto"/>
            </w:tcBorders>
            <w:shd w:val="clear" w:color="000000" w:fill="F2F2F2"/>
            <w:vAlign w:val="center"/>
          </w:tcPr>
          <w:p w14:paraId="00C759C5" w14:textId="61772F05" w:rsidR="008D06A8" w:rsidRPr="00353F24" w:rsidRDefault="008D06A8" w:rsidP="008D06A8">
            <w:pPr>
              <w:pStyle w:val="ListParagraph"/>
              <w:ind w:left="0"/>
              <w:jc w:val="right"/>
              <w:rPr>
                <w:rFonts w:cs="Arial"/>
                <w:bCs/>
                <w:sz w:val="20"/>
              </w:rPr>
            </w:pPr>
            <w:r>
              <w:rPr>
                <w:rFonts w:cs="Arial"/>
                <w:color w:val="000000"/>
                <w:sz w:val="20"/>
              </w:rPr>
              <w:t>0</w:t>
            </w:r>
          </w:p>
        </w:tc>
      </w:tr>
      <w:tr w:rsidR="008D06A8" w:rsidRPr="00353F24" w14:paraId="4B739F70"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6BA0E2EE" w14:textId="0A21AE8D" w:rsidR="008D06A8" w:rsidRPr="00353F24" w:rsidRDefault="008D06A8" w:rsidP="008D06A8">
            <w:pPr>
              <w:pStyle w:val="ListParagraph"/>
              <w:ind w:left="0"/>
              <w:rPr>
                <w:rFonts w:cs="Arial"/>
                <w:bCs/>
                <w:sz w:val="20"/>
              </w:rPr>
            </w:pPr>
            <w:r>
              <w:rPr>
                <w:rFonts w:cs="Arial"/>
                <w:color w:val="000000"/>
                <w:sz w:val="20"/>
              </w:rPr>
              <w:t xml:space="preserve">Customer Services/Access Harrow </w:t>
            </w:r>
          </w:p>
        </w:tc>
        <w:tc>
          <w:tcPr>
            <w:tcW w:w="992" w:type="dxa"/>
            <w:tcBorders>
              <w:top w:val="nil"/>
              <w:left w:val="nil"/>
              <w:bottom w:val="single" w:sz="8" w:space="0" w:color="auto"/>
              <w:right w:val="single" w:sz="8" w:space="0" w:color="auto"/>
            </w:tcBorders>
            <w:shd w:val="clear" w:color="000000" w:fill="FFFFFF"/>
            <w:vAlign w:val="center"/>
          </w:tcPr>
          <w:p w14:paraId="162EA9B1" w14:textId="06B74457" w:rsidR="008D06A8" w:rsidRPr="00353F24" w:rsidRDefault="008D06A8" w:rsidP="008D06A8">
            <w:pPr>
              <w:pStyle w:val="ListParagraph"/>
              <w:ind w:left="0"/>
              <w:jc w:val="right"/>
              <w:rPr>
                <w:rFonts w:cs="Arial"/>
                <w:bCs/>
                <w:sz w:val="20"/>
              </w:rPr>
            </w:pPr>
            <w:r>
              <w:rPr>
                <w:rFonts w:cs="Arial"/>
                <w:color w:val="000000"/>
                <w:sz w:val="20"/>
              </w:rPr>
              <w:t>3,698</w:t>
            </w:r>
          </w:p>
        </w:tc>
        <w:tc>
          <w:tcPr>
            <w:tcW w:w="1134" w:type="dxa"/>
            <w:tcBorders>
              <w:top w:val="nil"/>
              <w:left w:val="nil"/>
              <w:bottom w:val="single" w:sz="8" w:space="0" w:color="auto"/>
              <w:right w:val="single" w:sz="8" w:space="0" w:color="auto"/>
            </w:tcBorders>
            <w:shd w:val="clear" w:color="000000" w:fill="FFFFFF"/>
            <w:vAlign w:val="center"/>
          </w:tcPr>
          <w:p w14:paraId="1730AE11" w14:textId="595ABDBD" w:rsidR="008D06A8" w:rsidRPr="00353F24" w:rsidRDefault="008D06A8" w:rsidP="008D06A8">
            <w:pPr>
              <w:pStyle w:val="ListParagraph"/>
              <w:ind w:left="0"/>
              <w:jc w:val="right"/>
              <w:rPr>
                <w:rFonts w:cs="Arial"/>
                <w:bCs/>
                <w:sz w:val="20"/>
              </w:rPr>
            </w:pPr>
            <w:r>
              <w:rPr>
                <w:rFonts w:cs="Arial"/>
                <w:color w:val="000000"/>
                <w:sz w:val="20"/>
              </w:rPr>
              <w:t>3,873</w:t>
            </w:r>
          </w:p>
        </w:tc>
        <w:tc>
          <w:tcPr>
            <w:tcW w:w="1276" w:type="dxa"/>
            <w:tcBorders>
              <w:top w:val="nil"/>
              <w:left w:val="nil"/>
              <w:bottom w:val="single" w:sz="8" w:space="0" w:color="auto"/>
              <w:right w:val="single" w:sz="8" w:space="0" w:color="auto"/>
            </w:tcBorders>
            <w:shd w:val="clear" w:color="000000" w:fill="FFFFFF"/>
            <w:vAlign w:val="center"/>
          </w:tcPr>
          <w:p w14:paraId="41926F95" w14:textId="42D6ADF5" w:rsidR="008D06A8" w:rsidRPr="00353F24" w:rsidRDefault="008D06A8" w:rsidP="008D06A8">
            <w:pPr>
              <w:pStyle w:val="ListParagraph"/>
              <w:ind w:left="0"/>
              <w:jc w:val="right"/>
              <w:rPr>
                <w:rFonts w:cs="Arial"/>
                <w:bCs/>
                <w:sz w:val="20"/>
              </w:rPr>
            </w:pPr>
            <w:r>
              <w:rPr>
                <w:rFonts w:cs="Arial"/>
                <w:color w:val="000000"/>
                <w:sz w:val="20"/>
              </w:rPr>
              <w:t>0</w:t>
            </w:r>
          </w:p>
        </w:tc>
        <w:tc>
          <w:tcPr>
            <w:tcW w:w="1134" w:type="dxa"/>
            <w:tcBorders>
              <w:top w:val="nil"/>
              <w:left w:val="nil"/>
              <w:bottom w:val="single" w:sz="8" w:space="0" w:color="auto"/>
              <w:right w:val="single" w:sz="8" w:space="0" w:color="auto"/>
            </w:tcBorders>
            <w:shd w:val="clear" w:color="auto" w:fill="auto"/>
            <w:vAlign w:val="center"/>
          </w:tcPr>
          <w:p w14:paraId="29CF83D1" w14:textId="656A7765" w:rsidR="008D06A8" w:rsidRPr="00353F24" w:rsidRDefault="008D06A8" w:rsidP="008D06A8">
            <w:pPr>
              <w:pStyle w:val="ListParagraph"/>
              <w:ind w:left="0"/>
              <w:jc w:val="right"/>
              <w:rPr>
                <w:rFonts w:cs="Arial"/>
                <w:bCs/>
                <w:sz w:val="20"/>
              </w:rPr>
            </w:pPr>
            <w:r>
              <w:rPr>
                <w:rFonts w:cs="Arial"/>
                <w:color w:val="000000"/>
                <w:sz w:val="20"/>
              </w:rPr>
              <w:t>3,873</w:t>
            </w:r>
          </w:p>
        </w:tc>
        <w:tc>
          <w:tcPr>
            <w:tcW w:w="1134" w:type="dxa"/>
            <w:tcBorders>
              <w:top w:val="nil"/>
              <w:left w:val="nil"/>
              <w:bottom w:val="single" w:sz="8" w:space="0" w:color="auto"/>
              <w:right w:val="single" w:sz="8" w:space="0" w:color="auto"/>
            </w:tcBorders>
            <w:shd w:val="clear" w:color="000000" w:fill="F2F2F2"/>
            <w:vAlign w:val="center"/>
          </w:tcPr>
          <w:p w14:paraId="1900B6DB" w14:textId="20C41B75" w:rsidR="008D06A8" w:rsidRPr="00353F24" w:rsidRDefault="008D06A8" w:rsidP="008D06A8">
            <w:pPr>
              <w:pStyle w:val="ListParagraph"/>
              <w:ind w:left="0"/>
              <w:jc w:val="right"/>
              <w:rPr>
                <w:rFonts w:cs="Arial"/>
                <w:bCs/>
                <w:sz w:val="20"/>
              </w:rPr>
            </w:pPr>
            <w:r>
              <w:rPr>
                <w:rFonts w:cs="Arial"/>
                <w:color w:val="000000"/>
                <w:sz w:val="20"/>
              </w:rPr>
              <w:t>175</w:t>
            </w:r>
          </w:p>
        </w:tc>
      </w:tr>
      <w:tr w:rsidR="008D06A8" w:rsidRPr="00353F24" w14:paraId="1C4BE7D6"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2DB86827" w14:textId="1BD4AE75" w:rsidR="008D06A8" w:rsidRPr="00353F24" w:rsidRDefault="008D06A8" w:rsidP="008D06A8">
            <w:pPr>
              <w:pStyle w:val="ListParagraph"/>
              <w:ind w:left="0"/>
              <w:jc w:val="both"/>
              <w:rPr>
                <w:rFonts w:cs="Arial"/>
                <w:bCs/>
                <w:sz w:val="20"/>
              </w:rPr>
            </w:pPr>
            <w:r>
              <w:rPr>
                <w:rFonts w:cs="Arial"/>
                <w:color w:val="000000"/>
                <w:sz w:val="20"/>
              </w:rPr>
              <w:t>ICT</w:t>
            </w:r>
          </w:p>
        </w:tc>
        <w:tc>
          <w:tcPr>
            <w:tcW w:w="992" w:type="dxa"/>
            <w:tcBorders>
              <w:top w:val="nil"/>
              <w:left w:val="nil"/>
              <w:bottom w:val="single" w:sz="8" w:space="0" w:color="auto"/>
              <w:right w:val="single" w:sz="8" w:space="0" w:color="auto"/>
            </w:tcBorders>
            <w:shd w:val="clear" w:color="000000" w:fill="FFFFFF"/>
            <w:vAlign w:val="center"/>
          </w:tcPr>
          <w:p w14:paraId="16805931" w14:textId="24C3E071" w:rsidR="008D06A8" w:rsidRPr="00353F24" w:rsidRDefault="008D06A8" w:rsidP="008D06A8">
            <w:pPr>
              <w:pStyle w:val="ListParagraph"/>
              <w:ind w:left="0"/>
              <w:jc w:val="right"/>
              <w:rPr>
                <w:rFonts w:cs="Arial"/>
                <w:bCs/>
                <w:sz w:val="20"/>
              </w:rPr>
            </w:pPr>
            <w:r>
              <w:rPr>
                <w:rFonts w:cs="Arial"/>
                <w:color w:val="000000"/>
                <w:sz w:val="20"/>
              </w:rPr>
              <w:t>7,562</w:t>
            </w:r>
          </w:p>
        </w:tc>
        <w:tc>
          <w:tcPr>
            <w:tcW w:w="1134" w:type="dxa"/>
            <w:tcBorders>
              <w:top w:val="nil"/>
              <w:left w:val="nil"/>
              <w:bottom w:val="single" w:sz="8" w:space="0" w:color="auto"/>
              <w:right w:val="single" w:sz="8" w:space="0" w:color="auto"/>
            </w:tcBorders>
            <w:shd w:val="clear" w:color="000000" w:fill="FFFFFF"/>
            <w:vAlign w:val="center"/>
          </w:tcPr>
          <w:p w14:paraId="54EA690B" w14:textId="7657F87C" w:rsidR="008D06A8" w:rsidRPr="00353F24" w:rsidRDefault="008D06A8" w:rsidP="008D06A8">
            <w:pPr>
              <w:pStyle w:val="ListParagraph"/>
              <w:ind w:left="0"/>
              <w:jc w:val="right"/>
              <w:rPr>
                <w:rFonts w:cs="Arial"/>
                <w:bCs/>
                <w:sz w:val="20"/>
              </w:rPr>
            </w:pPr>
            <w:r>
              <w:rPr>
                <w:rFonts w:cs="Arial"/>
                <w:color w:val="000000"/>
                <w:sz w:val="20"/>
              </w:rPr>
              <w:t>7,564</w:t>
            </w:r>
          </w:p>
        </w:tc>
        <w:tc>
          <w:tcPr>
            <w:tcW w:w="1276" w:type="dxa"/>
            <w:tcBorders>
              <w:top w:val="nil"/>
              <w:left w:val="nil"/>
              <w:bottom w:val="single" w:sz="8" w:space="0" w:color="auto"/>
              <w:right w:val="single" w:sz="8" w:space="0" w:color="auto"/>
            </w:tcBorders>
            <w:shd w:val="clear" w:color="000000" w:fill="FFFFFF"/>
            <w:vAlign w:val="center"/>
          </w:tcPr>
          <w:p w14:paraId="3FCCA656" w14:textId="0BD4369F" w:rsidR="008D06A8" w:rsidRPr="00353F24" w:rsidRDefault="008D06A8" w:rsidP="008D06A8">
            <w:pPr>
              <w:pStyle w:val="ListParagraph"/>
              <w:ind w:left="0"/>
              <w:jc w:val="right"/>
              <w:rPr>
                <w:rFonts w:cs="Arial"/>
                <w:bCs/>
                <w:sz w:val="20"/>
              </w:rPr>
            </w:pPr>
            <w:r>
              <w:rPr>
                <w:rFonts w:cs="Arial"/>
                <w:color w:val="000000"/>
                <w:sz w:val="20"/>
              </w:rPr>
              <w:t>0</w:t>
            </w:r>
          </w:p>
        </w:tc>
        <w:tc>
          <w:tcPr>
            <w:tcW w:w="1134" w:type="dxa"/>
            <w:tcBorders>
              <w:top w:val="nil"/>
              <w:left w:val="nil"/>
              <w:bottom w:val="single" w:sz="8" w:space="0" w:color="auto"/>
              <w:right w:val="single" w:sz="8" w:space="0" w:color="auto"/>
            </w:tcBorders>
            <w:shd w:val="clear" w:color="auto" w:fill="auto"/>
            <w:vAlign w:val="center"/>
          </w:tcPr>
          <w:p w14:paraId="2915F4D4" w14:textId="21409996" w:rsidR="008D06A8" w:rsidRPr="00353F24" w:rsidRDefault="008D06A8" w:rsidP="008D06A8">
            <w:pPr>
              <w:pStyle w:val="ListParagraph"/>
              <w:ind w:left="0"/>
              <w:jc w:val="right"/>
              <w:rPr>
                <w:rFonts w:cs="Arial"/>
                <w:bCs/>
                <w:sz w:val="20"/>
              </w:rPr>
            </w:pPr>
            <w:r>
              <w:rPr>
                <w:rFonts w:cs="Arial"/>
                <w:color w:val="000000"/>
                <w:sz w:val="20"/>
              </w:rPr>
              <w:t>7,564</w:t>
            </w:r>
          </w:p>
        </w:tc>
        <w:tc>
          <w:tcPr>
            <w:tcW w:w="1134" w:type="dxa"/>
            <w:tcBorders>
              <w:top w:val="nil"/>
              <w:left w:val="nil"/>
              <w:bottom w:val="single" w:sz="8" w:space="0" w:color="auto"/>
              <w:right w:val="single" w:sz="8" w:space="0" w:color="auto"/>
            </w:tcBorders>
            <w:shd w:val="clear" w:color="000000" w:fill="F2F2F2"/>
            <w:vAlign w:val="center"/>
          </w:tcPr>
          <w:p w14:paraId="4A5E3CB6" w14:textId="26933064" w:rsidR="008D06A8" w:rsidRPr="00353F24" w:rsidRDefault="008D06A8" w:rsidP="008D06A8">
            <w:pPr>
              <w:pStyle w:val="ListParagraph"/>
              <w:ind w:left="0"/>
              <w:jc w:val="right"/>
              <w:rPr>
                <w:rFonts w:cs="Arial"/>
                <w:bCs/>
                <w:sz w:val="20"/>
              </w:rPr>
            </w:pPr>
            <w:r>
              <w:rPr>
                <w:rFonts w:cs="Arial"/>
                <w:color w:val="000000"/>
                <w:sz w:val="20"/>
              </w:rPr>
              <w:t>2</w:t>
            </w:r>
          </w:p>
        </w:tc>
      </w:tr>
      <w:tr w:rsidR="008D06A8" w:rsidRPr="00353F24" w14:paraId="311CFCBC"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2709CECA" w14:textId="59A1550B" w:rsidR="008D06A8" w:rsidRPr="00353F24" w:rsidRDefault="008D06A8" w:rsidP="008D06A8">
            <w:pPr>
              <w:pStyle w:val="ListParagraph"/>
              <w:ind w:left="0"/>
              <w:jc w:val="both"/>
              <w:rPr>
                <w:rFonts w:cs="Arial"/>
                <w:bCs/>
                <w:sz w:val="20"/>
              </w:rPr>
            </w:pPr>
            <w:r>
              <w:rPr>
                <w:rFonts w:cs="Arial"/>
                <w:color w:val="000000"/>
                <w:sz w:val="20"/>
              </w:rPr>
              <w:t>Director of Resources</w:t>
            </w:r>
          </w:p>
        </w:tc>
        <w:tc>
          <w:tcPr>
            <w:tcW w:w="992" w:type="dxa"/>
            <w:tcBorders>
              <w:top w:val="nil"/>
              <w:left w:val="nil"/>
              <w:bottom w:val="single" w:sz="8" w:space="0" w:color="auto"/>
              <w:right w:val="single" w:sz="8" w:space="0" w:color="auto"/>
            </w:tcBorders>
            <w:shd w:val="clear" w:color="000000" w:fill="FFFFFF"/>
            <w:vAlign w:val="center"/>
          </w:tcPr>
          <w:p w14:paraId="3E4EF140" w14:textId="7D52FC6D" w:rsidR="008D06A8" w:rsidRPr="00353F24" w:rsidRDefault="008D06A8" w:rsidP="008D06A8">
            <w:pPr>
              <w:pStyle w:val="ListParagraph"/>
              <w:ind w:left="0"/>
              <w:jc w:val="right"/>
              <w:rPr>
                <w:rFonts w:cs="Arial"/>
                <w:bCs/>
                <w:sz w:val="20"/>
              </w:rPr>
            </w:pPr>
            <w:r>
              <w:rPr>
                <w:rFonts w:cs="Arial"/>
                <w:color w:val="000000"/>
                <w:sz w:val="20"/>
              </w:rPr>
              <w:t>67</w:t>
            </w:r>
          </w:p>
        </w:tc>
        <w:tc>
          <w:tcPr>
            <w:tcW w:w="1134" w:type="dxa"/>
            <w:tcBorders>
              <w:top w:val="nil"/>
              <w:left w:val="nil"/>
              <w:bottom w:val="single" w:sz="8" w:space="0" w:color="auto"/>
              <w:right w:val="single" w:sz="8" w:space="0" w:color="auto"/>
            </w:tcBorders>
            <w:shd w:val="clear" w:color="000000" w:fill="FFFFFF"/>
            <w:vAlign w:val="center"/>
          </w:tcPr>
          <w:p w14:paraId="758A043B" w14:textId="7EB93ACD" w:rsidR="008D06A8" w:rsidRPr="00353F24" w:rsidRDefault="008D06A8" w:rsidP="008D06A8">
            <w:pPr>
              <w:pStyle w:val="ListParagraph"/>
              <w:ind w:left="0"/>
              <w:jc w:val="right"/>
              <w:rPr>
                <w:rFonts w:cs="Arial"/>
                <w:bCs/>
                <w:sz w:val="20"/>
              </w:rPr>
            </w:pPr>
            <w:r>
              <w:rPr>
                <w:rFonts w:cs="Arial"/>
                <w:color w:val="000000"/>
                <w:sz w:val="20"/>
              </w:rPr>
              <w:t>-133</w:t>
            </w:r>
          </w:p>
        </w:tc>
        <w:tc>
          <w:tcPr>
            <w:tcW w:w="1276" w:type="dxa"/>
            <w:tcBorders>
              <w:top w:val="nil"/>
              <w:left w:val="nil"/>
              <w:bottom w:val="single" w:sz="8" w:space="0" w:color="auto"/>
              <w:right w:val="single" w:sz="8" w:space="0" w:color="auto"/>
            </w:tcBorders>
            <w:shd w:val="clear" w:color="000000" w:fill="FFFFFF"/>
            <w:vAlign w:val="center"/>
          </w:tcPr>
          <w:p w14:paraId="4AD13F6C" w14:textId="7BCA29E7" w:rsidR="008D06A8" w:rsidRPr="00353F24" w:rsidRDefault="008D06A8" w:rsidP="008D06A8">
            <w:pPr>
              <w:pStyle w:val="ListParagraph"/>
              <w:ind w:left="0"/>
              <w:jc w:val="right"/>
              <w:rPr>
                <w:rFonts w:cs="Arial"/>
                <w:bCs/>
                <w:sz w:val="20"/>
              </w:rPr>
            </w:pPr>
            <w:r>
              <w:rPr>
                <w:rFonts w:cs="Arial"/>
                <w:color w:val="000000"/>
                <w:sz w:val="20"/>
              </w:rPr>
              <w:t>0</w:t>
            </w:r>
          </w:p>
        </w:tc>
        <w:tc>
          <w:tcPr>
            <w:tcW w:w="1134" w:type="dxa"/>
            <w:tcBorders>
              <w:top w:val="nil"/>
              <w:left w:val="nil"/>
              <w:bottom w:val="single" w:sz="8" w:space="0" w:color="auto"/>
              <w:right w:val="single" w:sz="8" w:space="0" w:color="auto"/>
            </w:tcBorders>
            <w:shd w:val="clear" w:color="auto" w:fill="auto"/>
            <w:vAlign w:val="center"/>
          </w:tcPr>
          <w:p w14:paraId="587AF2F7" w14:textId="1544346C" w:rsidR="008D06A8" w:rsidRPr="00353F24" w:rsidRDefault="008D06A8" w:rsidP="008D06A8">
            <w:pPr>
              <w:pStyle w:val="ListParagraph"/>
              <w:ind w:left="0"/>
              <w:jc w:val="right"/>
              <w:rPr>
                <w:rFonts w:cs="Arial"/>
                <w:bCs/>
                <w:sz w:val="20"/>
              </w:rPr>
            </w:pPr>
            <w:r>
              <w:rPr>
                <w:rFonts w:cs="Arial"/>
                <w:color w:val="000000"/>
                <w:sz w:val="20"/>
              </w:rPr>
              <w:t>-133</w:t>
            </w:r>
          </w:p>
        </w:tc>
        <w:tc>
          <w:tcPr>
            <w:tcW w:w="1134" w:type="dxa"/>
            <w:tcBorders>
              <w:top w:val="nil"/>
              <w:left w:val="nil"/>
              <w:bottom w:val="single" w:sz="8" w:space="0" w:color="auto"/>
              <w:right w:val="single" w:sz="8" w:space="0" w:color="auto"/>
            </w:tcBorders>
            <w:shd w:val="clear" w:color="000000" w:fill="F2F2F2"/>
            <w:vAlign w:val="center"/>
          </w:tcPr>
          <w:p w14:paraId="7FC7DAAC" w14:textId="1AAC7D0E" w:rsidR="008D06A8" w:rsidRPr="00353F24" w:rsidRDefault="008D06A8" w:rsidP="008D06A8">
            <w:pPr>
              <w:pStyle w:val="ListParagraph"/>
              <w:ind w:left="0"/>
              <w:jc w:val="right"/>
              <w:rPr>
                <w:rFonts w:cs="Arial"/>
                <w:bCs/>
                <w:sz w:val="20"/>
              </w:rPr>
            </w:pPr>
            <w:r>
              <w:rPr>
                <w:rFonts w:cs="Arial"/>
                <w:color w:val="000000"/>
                <w:sz w:val="20"/>
              </w:rPr>
              <w:t>-200</w:t>
            </w:r>
          </w:p>
        </w:tc>
      </w:tr>
      <w:tr w:rsidR="008D06A8" w:rsidRPr="00353F24" w14:paraId="2A721DD9"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401882B3" w14:textId="2F61DCE6" w:rsidR="008D06A8" w:rsidRPr="00353F24" w:rsidRDefault="008D06A8" w:rsidP="008D06A8">
            <w:pPr>
              <w:pStyle w:val="ListParagraph"/>
              <w:ind w:left="0"/>
              <w:jc w:val="both"/>
              <w:rPr>
                <w:rFonts w:cs="Arial"/>
                <w:bCs/>
                <w:sz w:val="20"/>
              </w:rPr>
            </w:pPr>
            <w:r>
              <w:rPr>
                <w:rFonts w:cs="Arial"/>
                <w:color w:val="000000"/>
                <w:sz w:val="20"/>
              </w:rPr>
              <w:t xml:space="preserve">HRD </w:t>
            </w:r>
          </w:p>
        </w:tc>
        <w:tc>
          <w:tcPr>
            <w:tcW w:w="992" w:type="dxa"/>
            <w:tcBorders>
              <w:top w:val="nil"/>
              <w:left w:val="nil"/>
              <w:bottom w:val="single" w:sz="8" w:space="0" w:color="auto"/>
              <w:right w:val="single" w:sz="8" w:space="0" w:color="auto"/>
            </w:tcBorders>
            <w:shd w:val="clear" w:color="000000" w:fill="FFFFFF"/>
            <w:vAlign w:val="center"/>
          </w:tcPr>
          <w:p w14:paraId="075AF508" w14:textId="1655373B" w:rsidR="008D06A8" w:rsidRPr="00353F24" w:rsidRDefault="008D06A8" w:rsidP="008D06A8">
            <w:pPr>
              <w:pStyle w:val="ListParagraph"/>
              <w:ind w:left="0"/>
              <w:jc w:val="right"/>
              <w:rPr>
                <w:rFonts w:cs="Arial"/>
                <w:bCs/>
                <w:sz w:val="20"/>
              </w:rPr>
            </w:pPr>
            <w:r>
              <w:rPr>
                <w:rFonts w:cs="Arial"/>
                <w:color w:val="000000"/>
                <w:sz w:val="20"/>
              </w:rPr>
              <w:t>2,222</w:t>
            </w:r>
          </w:p>
        </w:tc>
        <w:tc>
          <w:tcPr>
            <w:tcW w:w="1134" w:type="dxa"/>
            <w:tcBorders>
              <w:top w:val="nil"/>
              <w:left w:val="nil"/>
              <w:bottom w:val="single" w:sz="8" w:space="0" w:color="auto"/>
              <w:right w:val="single" w:sz="8" w:space="0" w:color="auto"/>
            </w:tcBorders>
            <w:shd w:val="clear" w:color="000000" w:fill="FFFFFF"/>
            <w:vAlign w:val="center"/>
          </w:tcPr>
          <w:p w14:paraId="4776EBE1" w14:textId="22B9AE06" w:rsidR="008D06A8" w:rsidRPr="00353F24" w:rsidRDefault="008D06A8" w:rsidP="008D06A8">
            <w:pPr>
              <w:pStyle w:val="ListParagraph"/>
              <w:ind w:left="0"/>
              <w:jc w:val="right"/>
              <w:rPr>
                <w:rFonts w:cs="Arial"/>
                <w:bCs/>
                <w:sz w:val="20"/>
              </w:rPr>
            </w:pPr>
            <w:r>
              <w:rPr>
                <w:rFonts w:cs="Arial"/>
                <w:color w:val="000000"/>
                <w:sz w:val="20"/>
              </w:rPr>
              <w:t>2,832</w:t>
            </w:r>
          </w:p>
        </w:tc>
        <w:tc>
          <w:tcPr>
            <w:tcW w:w="1276" w:type="dxa"/>
            <w:tcBorders>
              <w:top w:val="nil"/>
              <w:left w:val="nil"/>
              <w:bottom w:val="single" w:sz="8" w:space="0" w:color="auto"/>
              <w:right w:val="single" w:sz="8" w:space="0" w:color="auto"/>
            </w:tcBorders>
            <w:shd w:val="clear" w:color="000000" w:fill="FFFFFF"/>
            <w:vAlign w:val="center"/>
          </w:tcPr>
          <w:p w14:paraId="3843E484" w14:textId="1F00B239" w:rsidR="008D06A8" w:rsidRPr="00353F24" w:rsidRDefault="008D06A8" w:rsidP="008D06A8">
            <w:pPr>
              <w:pStyle w:val="ListParagraph"/>
              <w:ind w:left="0"/>
              <w:jc w:val="right"/>
              <w:rPr>
                <w:rFonts w:cs="Arial"/>
                <w:bCs/>
                <w:sz w:val="20"/>
              </w:rPr>
            </w:pPr>
            <w:r>
              <w:rPr>
                <w:rFonts w:cs="Arial"/>
                <w:color w:val="000000"/>
                <w:sz w:val="20"/>
              </w:rPr>
              <w:t>-381</w:t>
            </w:r>
          </w:p>
        </w:tc>
        <w:tc>
          <w:tcPr>
            <w:tcW w:w="1134" w:type="dxa"/>
            <w:tcBorders>
              <w:top w:val="nil"/>
              <w:left w:val="nil"/>
              <w:bottom w:val="single" w:sz="8" w:space="0" w:color="auto"/>
              <w:right w:val="single" w:sz="8" w:space="0" w:color="auto"/>
            </w:tcBorders>
            <w:shd w:val="clear" w:color="auto" w:fill="auto"/>
            <w:vAlign w:val="center"/>
          </w:tcPr>
          <w:p w14:paraId="1FA26443" w14:textId="445C4912" w:rsidR="008D06A8" w:rsidRPr="00353F24" w:rsidRDefault="008D06A8" w:rsidP="008D06A8">
            <w:pPr>
              <w:pStyle w:val="ListParagraph"/>
              <w:ind w:left="0"/>
              <w:jc w:val="right"/>
              <w:rPr>
                <w:rFonts w:cs="Arial"/>
                <w:bCs/>
                <w:sz w:val="20"/>
              </w:rPr>
            </w:pPr>
            <w:r>
              <w:rPr>
                <w:rFonts w:cs="Arial"/>
                <w:color w:val="000000"/>
                <w:sz w:val="20"/>
              </w:rPr>
              <w:t>2,451</w:t>
            </w:r>
          </w:p>
        </w:tc>
        <w:tc>
          <w:tcPr>
            <w:tcW w:w="1134" w:type="dxa"/>
            <w:tcBorders>
              <w:top w:val="nil"/>
              <w:left w:val="nil"/>
              <w:bottom w:val="single" w:sz="8" w:space="0" w:color="auto"/>
              <w:right w:val="single" w:sz="8" w:space="0" w:color="auto"/>
            </w:tcBorders>
            <w:shd w:val="clear" w:color="000000" w:fill="F2F2F2"/>
            <w:vAlign w:val="center"/>
          </w:tcPr>
          <w:p w14:paraId="33ED1CAE" w14:textId="03E387EA" w:rsidR="008D06A8" w:rsidRPr="00353F24" w:rsidRDefault="008D06A8" w:rsidP="008D06A8">
            <w:pPr>
              <w:pStyle w:val="ListParagraph"/>
              <w:ind w:left="0"/>
              <w:jc w:val="right"/>
              <w:rPr>
                <w:rFonts w:cs="Arial"/>
                <w:bCs/>
                <w:sz w:val="20"/>
              </w:rPr>
            </w:pPr>
            <w:r>
              <w:rPr>
                <w:rFonts w:cs="Arial"/>
                <w:color w:val="000000"/>
                <w:sz w:val="20"/>
              </w:rPr>
              <w:t>229</w:t>
            </w:r>
          </w:p>
        </w:tc>
      </w:tr>
      <w:tr w:rsidR="008D06A8" w:rsidRPr="00353F24" w14:paraId="711350EB"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76EFD11D" w14:textId="53D05A7E" w:rsidR="008D06A8" w:rsidRPr="00353F24" w:rsidRDefault="008D06A8" w:rsidP="008D06A8">
            <w:pPr>
              <w:pStyle w:val="ListParagraph"/>
              <w:ind w:left="0"/>
              <w:jc w:val="both"/>
              <w:rPr>
                <w:rFonts w:cs="Arial"/>
                <w:bCs/>
                <w:sz w:val="20"/>
              </w:rPr>
            </w:pPr>
            <w:r>
              <w:rPr>
                <w:rFonts w:cs="Arial"/>
                <w:color w:val="000000"/>
                <w:sz w:val="20"/>
              </w:rPr>
              <w:t>Strategy</w:t>
            </w:r>
          </w:p>
        </w:tc>
        <w:tc>
          <w:tcPr>
            <w:tcW w:w="992" w:type="dxa"/>
            <w:tcBorders>
              <w:top w:val="nil"/>
              <w:left w:val="nil"/>
              <w:bottom w:val="single" w:sz="8" w:space="0" w:color="auto"/>
              <w:right w:val="single" w:sz="8" w:space="0" w:color="auto"/>
            </w:tcBorders>
            <w:shd w:val="clear" w:color="000000" w:fill="FFFFFF"/>
            <w:vAlign w:val="center"/>
          </w:tcPr>
          <w:p w14:paraId="69364A15" w14:textId="761947CD" w:rsidR="008D06A8" w:rsidRPr="00353F24" w:rsidRDefault="008D06A8" w:rsidP="008D06A8">
            <w:pPr>
              <w:pStyle w:val="ListParagraph"/>
              <w:ind w:left="0"/>
              <w:jc w:val="right"/>
              <w:rPr>
                <w:rFonts w:cs="Arial"/>
                <w:bCs/>
                <w:sz w:val="20"/>
              </w:rPr>
            </w:pPr>
            <w:r>
              <w:rPr>
                <w:rFonts w:cs="Arial"/>
                <w:color w:val="000000"/>
                <w:sz w:val="20"/>
              </w:rPr>
              <w:t>2,270</w:t>
            </w:r>
          </w:p>
        </w:tc>
        <w:tc>
          <w:tcPr>
            <w:tcW w:w="1134" w:type="dxa"/>
            <w:tcBorders>
              <w:top w:val="nil"/>
              <w:left w:val="nil"/>
              <w:bottom w:val="single" w:sz="8" w:space="0" w:color="auto"/>
              <w:right w:val="single" w:sz="8" w:space="0" w:color="auto"/>
            </w:tcBorders>
            <w:shd w:val="clear" w:color="000000" w:fill="FFFFFF"/>
            <w:vAlign w:val="center"/>
          </w:tcPr>
          <w:p w14:paraId="62C4EDE7" w14:textId="54B0492E" w:rsidR="008D06A8" w:rsidRPr="00353F24" w:rsidRDefault="008D06A8" w:rsidP="008D06A8">
            <w:pPr>
              <w:pStyle w:val="ListParagraph"/>
              <w:ind w:left="0"/>
              <w:jc w:val="right"/>
              <w:rPr>
                <w:rFonts w:cs="Arial"/>
                <w:bCs/>
                <w:sz w:val="20"/>
              </w:rPr>
            </w:pPr>
            <w:r>
              <w:rPr>
                <w:rFonts w:cs="Arial"/>
                <w:color w:val="000000"/>
                <w:sz w:val="20"/>
              </w:rPr>
              <w:t>2,244</w:t>
            </w:r>
          </w:p>
        </w:tc>
        <w:tc>
          <w:tcPr>
            <w:tcW w:w="1276" w:type="dxa"/>
            <w:tcBorders>
              <w:top w:val="nil"/>
              <w:left w:val="nil"/>
              <w:bottom w:val="single" w:sz="8" w:space="0" w:color="auto"/>
              <w:right w:val="single" w:sz="8" w:space="0" w:color="auto"/>
            </w:tcBorders>
            <w:shd w:val="clear" w:color="000000" w:fill="FFFFFF"/>
            <w:vAlign w:val="center"/>
          </w:tcPr>
          <w:p w14:paraId="37E7B4CC" w14:textId="79FE7355" w:rsidR="008D06A8" w:rsidRPr="00353F24" w:rsidRDefault="008D06A8" w:rsidP="008D06A8">
            <w:pPr>
              <w:pStyle w:val="ListParagraph"/>
              <w:ind w:left="0"/>
              <w:jc w:val="right"/>
              <w:rPr>
                <w:rFonts w:cs="Arial"/>
                <w:bCs/>
                <w:sz w:val="20"/>
              </w:rPr>
            </w:pPr>
            <w:r>
              <w:rPr>
                <w:rFonts w:cs="Arial"/>
                <w:color w:val="000000"/>
                <w:sz w:val="20"/>
              </w:rPr>
              <w:t>0</w:t>
            </w:r>
          </w:p>
        </w:tc>
        <w:tc>
          <w:tcPr>
            <w:tcW w:w="1134" w:type="dxa"/>
            <w:tcBorders>
              <w:top w:val="nil"/>
              <w:left w:val="nil"/>
              <w:bottom w:val="single" w:sz="8" w:space="0" w:color="auto"/>
              <w:right w:val="single" w:sz="8" w:space="0" w:color="auto"/>
            </w:tcBorders>
            <w:shd w:val="clear" w:color="auto" w:fill="auto"/>
            <w:vAlign w:val="center"/>
          </w:tcPr>
          <w:p w14:paraId="4F0FD5F1" w14:textId="352CD68E" w:rsidR="008D06A8" w:rsidRPr="00353F24" w:rsidRDefault="008D06A8" w:rsidP="008D06A8">
            <w:pPr>
              <w:pStyle w:val="ListParagraph"/>
              <w:ind w:left="0"/>
              <w:jc w:val="right"/>
              <w:rPr>
                <w:rFonts w:cs="Arial"/>
                <w:bCs/>
                <w:sz w:val="20"/>
              </w:rPr>
            </w:pPr>
            <w:r>
              <w:rPr>
                <w:rFonts w:cs="Arial"/>
                <w:color w:val="000000"/>
                <w:sz w:val="20"/>
              </w:rPr>
              <w:t>2,244</w:t>
            </w:r>
          </w:p>
        </w:tc>
        <w:tc>
          <w:tcPr>
            <w:tcW w:w="1134" w:type="dxa"/>
            <w:tcBorders>
              <w:top w:val="nil"/>
              <w:left w:val="nil"/>
              <w:bottom w:val="single" w:sz="8" w:space="0" w:color="auto"/>
              <w:right w:val="single" w:sz="8" w:space="0" w:color="auto"/>
            </w:tcBorders>
            <w:shd w:val="clear" w:color="000000" w:fill="F2F2F2"/>
            <w:vAlign w:val="center"/>
          </w:tcPr>
          <w:p w14:paraId="2D8F649B" w14:textId="07C6F660" w:rsidR="008D06A8" w:rsidRPr="00353F24" w:rsidRDefault="008D06A8" w:rsidP="008D06A8">
            <w:pPr>
              <w:pStyle w:val="ListParagraph"/>
              <w:ind w:left="0"/>
              <w:jc w:val="right"/>
              <w:rPr>
                <w:rFonts w:cs="Arial"/>
                <w:bCs/>
                <w:sz w:val="20"/>
              </w:rPr>
            </w:pPr>
            <w:r>
              <w:rPr>
                <w:rFonts w:cs="Arial"/>
                <w:color w:val="000000"/>
                <w:sz w:val="20"/>
              </w:rPr>
              <w:t>-26</w:t>
            </w:r>
          </w:p>
        </w:tc>
      </w:tr>
      <w:tr w:rsidR="008D06A8" w:rsidRPr="00353F24" w14:paraId="61B00C5C" w14:textId="77777777" w:rsidTr="00A47592">
        <w:tc>
          <w:tcPr>
            <w:tcW w:w="4253" w:type="dxa"/>
            <w:tcBorders>
              <w:top w:val="nil"/>
              <w:left w:val="single" w:sz="8" w:space="0" w:color="auto"/>
              <w:bottom w:val="single" w:sz="8" w:space="0" w:color="auto"/>
              <w:right w:val="single" w:sz="8" w:space="0" w:color="auto"/>
            </w:tcBorders>
            <w:shd w:val="clear" w:color="auto" w:fill="auto"/>
            <w:vAlign w:val="center"/>
          </w:tcPr>
          <w:p w14:paraId="0D143392" w14:textId="7FD9EB95" w:rsidR="008D06A8" w:rsidRPr="00353F24" w:rsidRDefault="008D06A8" w:rsidP="008D06A8">
            <w:pPr>
              <w:pStyle w:val="ListParagraph"/>
              <w:ind w:left="0"/>
              <w:jc w:val="both"/>
              <w:rPr>
                <w:rFonts w:cs="Arial"/>
                <w:sz w:val="20"/>
              </w:rPr>
            </w:pPr>
            <w:r>
              <w:rPr>
                <w:rFonts w:cs="Arial"/>
                <w:b/>
                <w:bCs/>
                <w:color w:val="000000"/>
                <w:sz w:val="20"/>
              </w:rPr>
              <w:t>Totals</w:t>
            </w:r>
          </w:p>
        </w:tc>
        <w:tc>
          <w:tcPr>
            <w:tcW w:w="992" w:type="dxa"/>
            <w:tcBorders>
              <w:top w:val="nil"/>
              <w:left w:val="nil"/>
              <w:bottom w:val="single" w:sz="8" w:space="0" w:color="auto"/>
              <w:right w:val="single" w:sz="8" w:space="0" w:color="auto"/>
            </w:tcBorders>
            <w:shd w:val="clear" w:color="000000" w:fill="FFFFFF"/>
            <w:vAlign w:val="center"/>
          </w:tcPr>
          <w:p w14:paraId="5B0B269A" w14:textId="4EA399C3" w:rsidR="008D06A8" w:rsidRPr="00353F24" w:rsidRDefault="008D06A8" w:rsidP="008D06A8">
            <w:pPr>
              <w:pStyle w:val="ListParagraph"/>
              <w:ind w:left="0"/>
              <w:jc w:val="right"/>
              <w:rPr>
                <w:rFonts w:cs="Arial"/>
                <w:sz w:val="20"/>
              </w:rPr>
            </w:pPr>
            <w:r>
              <w:rPr>
                <w:rFonts w:cs="Arial"/>
                <w:b/>
                <w:bCs/>
                <w:color w:val="000000"/>
                <w:sz w:val="20"/>
              </w:rPr>
              <w:t>19,861</w:t>
            </w:r>
          </w:p>
        </w:tc>
        <w:tc>
          <w:tcPr>
            <w:tcW w:w="1134" w:type="dxa"/>
            <w:tcBorders>
              <w:top w:val="nil"/>
              <w:left w:val="nil"/>
              <w:bottom w:val="single" w:sz="8" w:space="0" w:color="auto"/>
              <w:right w:val="single" w:sz="8" w:space="0" w:color="auto"/>
            </w:tcBorders>
            <w:shd w:val="clear" w:color="000000" w:fill="FFFFFF"/>
            <w:vAlign w:val="center"/>
          </w:tcPr>
          <w:p w14:paraId="55D4D57C" w14:textId="690187A9" w:rsidR="008D06A8" w:rsidRPr="00353F24" w:rsidRDefault="008D06A8" w:rsidP="008D06A8">
            <w:pPr>
              <w:pStyle w:val="ListParagraph"/>
              <w:ind w:left="0"/>
              <w:jc w:val="right"/>
              <w:rPr>
                <w:rFonts w:cs="Arial"/>
                <w:sz w:val="20"/>
              </w:rPr>
            </w:pPr>
            <w:r>
              <w:rPr>
                <w:rFonts w:cs="Arial"/>
                <w:b/>
                <w:bCs/>
                <w:color w:val="000000"/>
                <w:sz w:val="20"/>
              </w:rPr>
              <w:t>20,422</w:t>
            </w:r>
          </w:p>
        </w:tc>
        <w:tc>
          <w:tcPr>
            <w:tcW w:w="1276" w:type="dxa"/>
            <w:tcBorders>
              <w:top w:val="nil"/>
              <w:left w:val="nil"/>
              <w:bottom w:val="single" w:sz="8" w:space="0" w:color="auto"/>
              <w:right w:val="single" w:sz="8" w:space="0" w:color="auto"/>
            </w:tcBorders>
            <w:shd w:val="clear" w:color="000000" w:fill="FFFFFF"/>
            <w:vAlign w:val="center"/>
          </w:tcPr>
          <w:p w14:paraId="610ED355" w14:textId="71D8C0ED" w:rsidR="008D06A8" w:rsidRPr="00353F24" w:rsidRDefault="008D06A8" w:rsidP="008D06A8">
            <w:pPr>
              <w:pStyle w:val="ListParagraph"/>
              <w:ind w:left="0"/>
              <w:jc w:val="right"/>
              <w:rPr>
                <w:rFonts w:cs="Arial"/>
                <w:sz w:val="20"/>
              </w:rPr>
            </w:pPr>
            <w:r>
              <w:rPr>
                <w:rFonts w:cs="Arial"/>
                <w:b/>
                <w:bCs/>
                <w:color w:val="000000"/>
                <w:sz w:val="20"/>
              </w:rPr>
              <w:t>-381</w:t>
            </w:r>
          </w:p>
        </w:tc>
        <w:tc>
          <w:tcPr>
            <w:tcW w:w="1134" w:type="dxa"/>
            <w:tcBorders>
              <w:top w:val="nil"/>
              <w:left w:val="nil"/>
              <w:bottom w:val="single" w:sz="8" w:space="0" w:color="auto"/>
              <w:right w:val="single" w:sz="8" w:space="0" w:color="auto"/>
            </w:tcBorders>
            <w:shd w:val="clear" w:color="000000" w:fill="FFFFFF"/>
            <w:vAlign w:val="center"/>
          </w:tcPr>
          <w:p w14:paraId="10CE4331" w14:textId="581C9145" w:rsidR="008D06A8" w:rsidRPr="00353F24" w:rsidRDefault="008D06A8" w:rsidP="008D06A8">
            <w:pPr>
              <w:pStyle w:val="ListParagraph"/>
              <w:ind w:left="0"/>
              <w:jc w:val="right"/>
              <w:rPr>
                <w:rFonts w:cs="Arial"/>
                <w:sz w:val="20"/>
              </w:rPr>
            </w:pPr>
            <w:r>
              <w:rPr>
                <w:rFonts w:cs="Arial"/>
                <w:b/>
                <w:bCs/>
                <w:color w:val="000000"/>
                <w:sz w:val="20"/>
              </w:rPr>
              <w:t>20,041</w:t>
            </w:r>
          </w:p>
        </w:tc>
        <w:tc>
          <w:tcPr>
            <w:tcW w:w="1134" w:type="dxa"/>
            <w:tcBorders>
              <w:top w:val="nil"/>
              <w:left w:val="nil"/>
              <w:bottom w:val="single" w:sz="8" w:space="0" w:color="auto"/>
              <w:right w:val="single" w:sz="8" w:space="0" w:color="auto"/>
            </w:tcBorders>
            <w:shd w:val="clear" w:color="000000" w:fill="FFFFFF"/>
            <w:vAlign w:val="center"/>
          </w:tcPr>
          <w:p w14:paraId="53F46413" w14:textId="5ADA608F" w:rsidR="008D06A8" w:rsidRPr="00353F24" w:rsidRDefault="008D06A8" w:rsidP="008D06A8">
            <w:pPr>
              <w:pStyle w:val="ListParagraph"/>
              <w:ind w:left="0"/>
              <w:jc w:val="right"/>
              <w:rPr>
                <w:rFonts w:cs="Arial"/>
                <w:sz w:val="20"/>
              </w:rPr>
            </w:pPr>
            <w:r>
              <w:rPr>
                <w:rFonts w:cs="Arial"/>
                <w:b/>
                <w:bCs/>
                <w:color w:val="000000"/>
                <w:sz w:val="20"/>
              </w:rPr>
              <w:t>180</w:t>
            </w:r>
          </w:p>
        </w:tc>
      </w:tr>
    </w:tbl>
    <w:p w14:paraId="39D70EFF" w14:textId="77777777" w:rsidR="00353F24" w:rsidRPr="00353F24" w:rsidRDefault="00353F24" w:rsidP="00353F24">
      <w:pPr>
        <w:jc w:val="both"/>
        <w:rPr>
          <w:rFonts w:cs="Arial"/>
          <w:b/>
          <w:szCs w:val="24"/>
        </w:rPr>
      </w:pPr>
    </w:p>
    <w:p w14:paraId="0A6723DB" w14:textId="4AB67F02" w:rsidR="00353F24" w:rsidRPr="00353F24" w:rsidRDefault="00353F24" w:rsidP="00353F24">
      <w:pPr>
        <w:pStyle w:val="ListParagraph"/>
        <w:numPr>
          <w:ilvl w:val="0"/>
          <w:numId w:val="4"/>
        </w:numPr>
        <w:ind w:left="567" w:hanging="567"/>
        <w:jc w:val="both"/>
        <w:rPr>
          <w:rFonts w:cs="Arial"/>
          <w:szCs w:val="24"/>
        </w:rPr>
      </w:pPr>
      <w:r w:rsidRPr="00353F24">
        <w:rPr>
          <w:rFonts w:cs="Arial"/>
          <w:szCs w:val="24"/>
        </w:rPr>
        <w:t xml:space="preserve">As at Q1 the directorate is reporting a net </w:t>
      </w:r>
      <w:r w:rsidR="008D06A8">
        <w:rPr>
          <w:rFonts w:cs="Arial"/>
          <w:szCs w:val="24"/>
        </w:rPr>
        <w:t>ov</w:t>
      </w:r>
      <w:r w:rsidRPr="00353F24">
        <w:rPr>
          <w:rFonts w:cs="Arial"/>
          <w:szCs w:val="24"/>
        </w:rPr>
        <w:t>erspend of £</w:t>
      </w:r>
      <w:r w:rsidR="008D06A8">
        <w:rPr>
          <w:rFonts w:cs="Arial"/>
          <w:szCs w:val="24"/>
        </w:rPr>
        <w:t>180</w:t>
      </w:r>
      <w:r w:rsidRPr="00353F24">
        <w:rPr>
          <w:rFonts w:cs="Arial"/>
          <w:szCs w:val="24"/>
        </w:rPr>
        <w:t xml:space="preserve">k after drawdown from reserves. </w:t>
      </w:r>
    </w:p>
    <w:p w14:paraId="2B9F5A7E" w14:textId="2906B4BB" w:rsidR="00353F24" w:rsidRPr="00353F24" w:rsidRDefault="00353F24" w:rsidP="00353F24">
      <w:pPr>
        <w:pStyle w:val="ListParagraph"/>
        <w:numPr>
          <w:ilvl w:val="0"/>
          <w:numId w:val="4"/>
        </w:numPr>
        <w:ind w:left="567" w:hanging="567"/>
        <w:jc w:val="both"/>
        <w:rPr>
          <w:rFonts w:cs="Arial"/>
          <w:szCs w:val="24"/>
        </w:rPr>
      </w:pPr>
      <w:r w:rsidRPr="00353F24">
        <w:rPr>
          <w:rFonts w:cs="Arial"/>
          <w:szCs w:val="24"/>
        </w:rPr>
        <w:lastRenderedPageBreak/>
        <w:t xml:space="preserve">The reserve movements are shown in Table </w:t>
      </w:r>
      <w:r w:rsidR="00365994">
        <w:rPr>
          <w:rFonts w:cs="Arial"/>
          <w:szCs w:val="24"/>
        </w:rPr>
        <w:t>5</w:t>
      </w:r>
    </w:p>
    <w:p w14:paraId="1B5F54E4" w14:textId="77777777" w:rsidR="00353F24" w:rsidRPr="00353F24" w:rsidRDefault="00353F24" w:rsidP="00353F24">
      <w:pPr>
        <w:pStyle w:val="ListParagraph"/>
        <w:rPr>
          <w:rFonts w:cs="Arial"/>
          <w:szCs w:val="24"/>
        </w:rPr>
      </w:pPr>
    </w:p>
    <w:p w14:paraId="33485C63" w14:textId="0113AF51" w:rsidR="00353F24" w:rsidRPr="00353F24" w:rsidRDefault="00353F24" w:rsidP="00353F24">
      <w:pPr>
        <w:jc w:val="both"/>
        <w:rPr>
          <w:rFonts w:cs="Arial"/>
          <w:b/>
          <w:bCs/>
          <w:szCs w:val="24"/>
          <w:u w:val="single"/>
        </w:rPr>
      </w:pPr>
      <w:r w:rsidRPr="00353F24">
        <w:rPr>
          <w:rFonts w:cs="Arial"/>
          <w:b/>
          <w:bCs/>
          <w:szCs w:val="24"/>
          <w:u w:val="single"/>
        </w:rPr>
        <w:t xml:space="preserve">Table </w:t>
      </w:r>
      <w:r>
        <w:rPr>
          <w:rFonts w:cs="Arial"/>
          <w:b/>
          <w:bCs/>
          <w:szCs w:val="24"/>
          <w:u w:val="single"/>
        </w:rPr>
        <w:t>5</w:t>
      </w:r>
      <w:r w:rsidRPr="00353F24">
        <w:rPr>
          <w:rFonts w:cs="Arial"/>
          <w:b/>
          <w:bCs/>
          <w:szCs w:val="24"/>
          <w:u w:val="single"/>
        </w:rPr>
        <w:t xml:space="preserve">: </w:t>
      </w:r>
      <w:r>
        <w:rPr>
          <w:rFonts w:cs="Arial"/>
          <w:b/>
          <w:bCs/>
          <w:szCs w:val="24"/>
          <w:u w:val="single"/>
        </w:rPr>
        <w:t>Resources</w:t>
      </w:r>
      <w:r w:rsidRPr="00353F24">
        <w:rPr>
          <w:rFonts w:cs="Arial"/>
          <w:b/>
          <w:bCs/>
          <w:szCs w:val="24"/>
          <w:u w:val="single"/>
        </w:rPr>
        <w:t xml:space="preserve"> Reserve Movements 2023-24</w:t>
      </w:r>
    </w:p>
    <w:p w14:paraId="7A0D0639" w14:textId="77777777" w:rsidR="00353F24" w:rsidRPr="00353F24" w:rsidRDefault="00353F24" w:rsidP="00353F24">
      <w:pPr>
        <w:jc w:val="both"/>
        <w:rPr>
          <w:rFonts w:cs="Arial"/>
          <w:szCs w:val="24"/>
        </w:rPr>
      </w:pPr>
    </w:p>
    <w:tbl>
      <w:tblPr>
        <w:tblStyle w:val="TableGrid"/>
        <w:tblW w:w="0" w:type="auto"/>
        <w:tblLook w:val="04A0" w:firstRow="1" w:lastRow="0" w:firstColumn="1" w:lastColumn="0" w:noHBand="0" w:noVBand="1"/>
      </w:tblPr>
      <w:tblGrid>
        <w:gridCol w:w="6786"/>
        <w:gridCol w:w="2233"/>
      </w:tblGrid>
      <w:tr w:rsidR="00353F24" w:rsidRPr="00353F24" w14:paraId="531D3BF8" w14:textId="77777777" w:rsidTr="00A47592">
        <w:tc>
          <w:tcPr>
            <w:tcW w:w="6786" w:type="dxa"/>
          </w:tcPr>
          <w:p w14:paraId="60B4A4C1" w14:textId="77777777" w:rsidR="00353F24" w:rsidRPr="00353F24" w:rsidRDefault="00353F24" w:rsidP="00A47592">
            <w:pPr>
              <w:jc w:val="both"/>
              <w:rPr>
                <w:rFonts w:cs="Arial"/>
                <w:b/>
                <w:bCs/>
                <w:sz w:val="20"/>
              </w:rPr>
            </w:pPr>
            <w:r w:rsidRPr="00353F24">
              <w:rPr>
                <w:b/>
                <w:bCs/>
                <w:sz w:val="20"/>
              </w:rPr>
              <w:t xml:space="preserve">Description </w:t>
            </w:r>
          </w:p>
        </w:tc>
        <w:tc>
          <w:tcPr>
            <w:tcW w:w="2233" w:type="dxa"/>
          </w:tcPr>
          <w:p w14:paraId="0D215742" w14:textId="77777777" w:rsidR="00353F24" w:rsidRPr="00353F24" w:rsidRDefault="00353F24" w:rsidP="00A47592">
            <w:pPr>
              <w:jc w:val="both"/>
              <w:rPr>
                <w:rFonts w:cs="Arial"/>
                <w:b/>
                <w:bCs/>
                <w:sz w:val="20"/>
              </w:rPr>
            </w:pPr>
            <w:r w:rsidRPr="00353F24">
              <w:rPr>
                <w:b/>
                <w:bCs/>
                <w:sz w:val="20"/>
              </w:rPr>
              <w:t>Movement £’000</w:t>
            </w:r>
          </w:p>
        </w:tc>
      </w:tr>
      <w:tr w:rsidR="00353F24" w:rsidRPr="00353F24" w14:paraId="6DA1A19D" w14:textId="77777777" w:rsidTr="00A47592">
        <w:tc>
          <w:tcPr>
            <w:tcW w:w="6786" w:type="dxa"/>
          </w:tcPr>
          <w:p w14:paraId="23926D64" w14:textId="045F84FF" w:rsidR="00353F24" w:rsidRPr="00353F24" w:rsidRDefault="008D06A8" w:rsidP="00A47592">
            <w:pPr>
              <w:jc w:val="both"/>
              <w:rPr>
                <w:rFonts w:cs="Arial"/>
                <w:sz w:val="20"/>
              </w:rPr>
            </w:pPr>
            <w:r>
              <w:rPr>
                <w:sz w:val="20"/>
              </w:rPr>
              <w:t>Corporate MTFS Implementation Reserve</w:t>
            </w:r>
          </w:p>
        </w:tc>
        <w:tc>
          <w:tcPr>
            <w:tcW w:w="2233" w:type="dxa"/>
          </w:tcPr>
          <w:p w14:paraId="437B5611" w14:textId="7CA497A8" w:rsidR="00353F24" w:rsidRPr="00353F24" w:rsidRDefault="00353F24" w:rsidP="00A47592">
            <w:pPr>
              <w:jc w:val="right"/>
              <w:rPr>
                <w:rFonts w:cs="Arial"/>
                <w:sz w:val="20"/>
              </w:rPr>
            </w:pPr>
            <w:r w:rsidRPr="00353F24">
              <w:rPr>
                <w:sz w:val="20"/>
              </w:rPr>
              <w:t>-</w:t>
            </w:r>
            <w:r w:rsidR="008D06A8">
              <w:rPr>
                <w:sz w:val="20"/>
              </w:rPr>
              <w:t>381</w:t>
            </w:r>
          </w:p>
        </w:tc>
      </w:tr>
      <w:tr w:rsidR="00353F24" w:rsidRPr="00353F24" w14:paraId="38404902" w14:textId="77777777" w:rsidTr="00A47592">
        <w:tc>
          <w:tcPr>
            <w:tcW w:w="6786" w:type="dxa"/>
          </w:tcPr>
          <w:p w14:paraId="6CC20343" w14:textId="50970592" w:rsidR="00353F24" w:rsidRPr="00353F24" w:rsidRDefault="00353F24" w:rsidP="00A47592">
            <w:pPr>
              <w:jc w:val="both"/>
              <w:rPr>
                <w:rFonts w:cs="Arial"/>
                <w:b/>
                <w:bCs/>
                <w:sz w:val="20"/>
              </w:rPr>
            </w:pPr>
            <w:r>
              <w:rPr>
                <w:b/>
                <w:bCs/>
                <w:sz w:val="20"/>
              </w:rPr>
              <w:t>Resources</w:t>
            </w:r>
            <w:r w:rsidRPr="00353F24">
              <w:rPr>
                <w:b/>
                <w:bCs/>
                <w:sz w:val="20"/>
              </w:rPr>
              <w:t xml:space="preserve"> net draw down</w:t>
            </w:r>
          </w:p>
        </w:tc>
        <w:tc>
          <w:tcPr>
            <w:tcW w:w="2233" w:type="dxa"/>
          </w:tcPr>
          <w:p w14:paraId="6A040BA9" w14:textId="690EFEB5" w:rsidR="00353F24" w:rsidRPr="00353F24" w:rsidRDefault="00353F24" w:rsidP="00A47592">
            <w:pPr>
              <w:jc w:val="right"/>
              <w:rPr>
                <w:rFonts w:cs="Arial"/>
                <w:b/>
                <w:bCs/>
                <w:sz w:val="20"/>
              </w:rPr>
            </w:pPr>
            <w:r w:rsidRPr="00353F24">
              <w:rPr>
                <w:b/>
                <w:bCs/>
                <w:sz w:val="20"/>
              </w:rPr>
              <w:t>-</w:t>
            </w:r>
            <w:r w:rsidR="008D06A8">
              <w:rPr>
                <w:b/>
                <w:bCs/>
                <w:sz w:val="20"/>
              </w:rPr>
              <w:t>381</w:t>
            </w:r>
          </w:p>
        </w:tc>
      </w:tr>
    </w:tbl>
    <w:p w14:paraId="153D99CF" w14:textId="77777777" w:rsidR="00353F24" w:rsidRPr="00353F24" w:rsidRDefault="00353F24" w:rsidP="00353F24">
      <w:pPr>
        <w:jc w:val="both"/>
        <w:rPr>
          <w:rFonts w:cs="Arial"/>
          <w:szCs w:val="24"/>
        </w:rPr>
      </w:pPr>
    </w:p>
    <w:p w14:paraId="49E946A2" w14:textId="29A6000B" w:rsidR="00353F24" w:rsidRPr="00353F24" w:rsidRDefault="00353F24" w:rsidP="00353F24">
      <w:pPr>
        <w:pStyle w:val="ListParagraph"/>
        <w:numPr>
          <w:ilvl w:val="0"/>
          <w:numId w:val="4"/>
        </w:numPr>
        <w:ind w:left="567" w:hanging="567"/>
        <w:jc w:val="both"/>
        <w:rPr>
          <w:rFonts w:cs="Arial"/>
          <w:szCs w:val="24"/>
        </w:rPr>
      </w:pPr>
      <w:r w:rsidRPr="00353F24">
        <w:rPr>
          <w:rFonts w:cs="Arial"/>
          <w:szCs w:val="24"/>
        </w:rPr>
        <w:t xml:space="preserve">The net </w:t>
      </w:r>
      <w:r w:rsidR="008D06A8">
        <w:rPr>
          <w:rFonts w:cs="Arial"/>
          <w:szCs w:val="24"/>
        </w:rPr>
        <w:t>over</w:t>
      </w:r>
      <w:r w:rsidRPr="00353F24">
        <w:rPr>
          <w:rFonts w:cs="Arial"/>
          <w:szCs w:val="24"/>
        </w:rPr>
        <w:t xml:space="preserve">spend of </w:t>
      </w:r>
      <w:r w:rsidR="008D06A8">
        <w:rPr>
          <w:rFonts w:cs="Arial"/>
          <w:szCs w:val="24"/>
        </w:rPr>
        <w:t>£180</w:t>
      </w:r>
      <w:r w:rsidRPr="00353F24">
        <w:rPr>
          <w:rFonts w:cs="Arial"/>
          <w:szCs w:val="24"/>
        </w:rPr>
        <w:t>k is made up as follows:</w:t>
      </w:r>
    </w:p>
    <w:p w14:paraId="6C5FDD0C" w14:textId="77777777" w:rsidR="008D06A8" w:rsidRPr="008D06A8" w:rsidRDefault="008D06A8" w:rsidP="008D06A8">
      <w:pPr>
        <w:pStyle w:val="ListParagraph"/>
        <w:ind w:left="1418"/>
        <w:jc w:val="both"/>
        <w:rPr>
          <w:rFonts w:cs="Arial"/>
          <w:szCs w:val="24"/>
        </w:rPr>
      </w:pPr>
    </w:p>
    <w:p w14:paraId="15479D61" w14:textId="1D511755" w:rsidR="00353F24" w:rsidRDefault="008D06A8" w:rsidP="00353F24">
      <w:pPr>
        <w:pStyle w:val="ListParagraph"/>
        <w:numPr>
          <w:ilvl w:val="1"/>
          <w:numId w:val="4"/>
        </w:numPr>
        <w:ind w:left="1418" w:hanging="567"/>
        <w:jc w:val="both"/>
        <w:rPr>
          <w:rFonts w:cs="Arial"/>
          <w:szCs w:val="24"/>
        </w:rPr>
      </w:pPr>
      <w:r>
        <w:rPr>
          <w:rFonts w:cs="Arial"/>
          <w:b/>
          <w:bCs/>
          <w:szCs w:val="24"/>
        </w:rPr>
        <w:t>Access Harrow</w:t>
      </w:r>
      <w:r>
        <w:rPr>
          <w:rFonts w:cs="Arial"/>
          <w:szCs w:val="24"/>
        </w:rPr>
        <w:t xml:space="preserve"> - £17</w:t>
      </w:r>
      <w:r w:rsidR="00E42721">
        <w:rPr>
          <w:rFonts w:cs="Arial"/>
          <w:szCs w:val="24"/>
        </w:rPr>
        <w:t>5</w:t>
      </w:r>
      <w:r>
        <w:rPr>
          <w:rFonts w:cs="Arial"/>
          <w:szCs w:val="24"/>
        </w:rPr>
        <w:t>k overspend due to the decision to not implement a prior year MTFS saving to close the telephone lines for Revenues and Collections.</w:t>
      </w:r>
    </w:p>
    <w:p w14:paraId="539ED495" w14:textId="2424A848" w:rsidR="008D06A8" w:rsidRDefault="008D06A8" w:rsidP="00353F24">
      <w:pPr>
        <w:pStyle w:val="ListParagraph"/>
        <w:numPr>
          <w:ilvl w:val="1"/>
          <w:numId w:val="4"/>
        </w:numPr>
        <w:ind w:left="1418" w:hanging="567"/>
        <w:jc w:val="both"/>
        <w:rPr>
          <w:rFonts w:cs="Arial"/>
          <w:szCs w:val="24"/>
        </w:rPr>
      </w:pPr>
      <w:r>
        <w:rPr>
          <w:rFonts w:cs="Arial"/>
          <w:b/>
          <w:bCs/>
          <w:szCs w:val="24"/>
        </w:rPr>
        <w:t>HR</w:t>
      </w:r>
      <w:r>
        <w:rPr>
          <w:rFonts w:cs="Arial"/>
          <w:szCs w:val="24"/>
        </w:rPr>
        <w:t xml:space="preserve"> - £229k overspend due to loss of income from schools for payroll services</w:t>
      </w:r>
    </w:p>
    <w:p w14:paraId="510314FB" w14:textId="39A67708" w:rsidR="008D06A8" w:rsidRDefault="008D06A8" w:rsidP="00353F24">
      <w:pPr>
        <w:pStyle w:val="ListParagraph"/>
        <w:numPr>
          <w:ilvl w:val="1"/>
          <w:numId w:val="4"/>
        </w:numPr>
        <w:ind w:left="1418" w:hanging="567"/>
        <w:jc w:val="both"/>
        <w:rPr>
          <w:rFonts w:cs="Arial"/>
          <w:szCs w:val="24"/>
        </w:rPr>
      </w:pPr>
      <w:r>
        <w:rPr>
          <w:rFonts w:cs="Arial"/>
          <w:b/>
          <w:bCs/>
          <w:szCs w:val="24"/>
        </w:rPr>
        <w:t>Management</w:t>
      </w:r>
      <w:r>
        <w:rPr>
          <w:rFonts w:cs="Arial"/>
          <w:szCs w:val="24"/>
        </w:rPr>
        <w:t xml:space="preserve"> - £200k underspend due to vacancies</w:t>
      </w:r>
    </w:p>
    <w:p w14:paraId="13D76F67" w14:textId="757534C2" w:rsidR="008D06A8" w:rsidRPr="00353F24" w:rsidRDefault="008D06A8" w:rsidP="00353F24">
      <w:pPr>
        <w:pStyle w:val="ListParagraph"/>
        <w:numPr>
          <w:ilvl w:val="1"/>
          <w:numId w:val="4"/>
        </w:numPr>
        <w:ind w:left="1418" w:hanging="567"/>
        <w:jc w:val="both"/>
        <w:rPr>
          <w:rFonts w:cs="Arial"/>
          <w:szCs w:val="24"/>
        </w:rPr>
      </w:pPr>
      <w:r>
        <w:rPr>
          <w:rFonts w:cs="Arial"/>
          <w:b/>
          <w:bCs/>
          <w:szCs w:val="24"/>
        </w:rPr>
        <w:t>Strategy</w:t>
      </w:r>
      <w:r>
        <w:rPr>
          <w:rFonts w:cs="Arial"/>
          <w:szCs w:val="24"/>
        </w:rPr>
        <w:t xml:space="preserve"> - £26k underspend due to vacancies.</w:t>
      </w:r>
    </w:p>
    <w:bookmarkEnd w:id="0"/>
    <w:bookmarkEnd w:id="1"/>
    <w:bookmarkEnd w:id="2"/>
    <w:p w14:paraId="1A6C4A31" w14:textId="26A251A8" w:rsidR="00F805C8" w:rsidRDefault="00F805C8" w:rsidP="003C7F2F">
      <w:pPr>
        <w:rPr>
          <w:rFonts w:cs="Arial"/>
          <w:b/>
          <w:szCs w:val="24"/>
          <w:u w:val="single"/>
        </w:rPr>
      </w:pPr>
    </w:p>
    <w:p w14:paraId="5D695062" w14:textId="77777777" w:rsidR="00FD4F48" w:rsidRDefault="00FD4F48" w:rsidP="003C7F2F">
      <w:pPr>
        <w:rPr>
          <w:rFonts w:cs="Arial"/>
          <w:b/>
          <w:szCs w:val="24"/>
          <w:u w:val="single"/>
        </w:rPr>
      </w:pPr>
    </w:p>
    <w:p w14:paraId="35A20D93" w14:textId="07F9EFAC" w:rsidR="00690337" w:rsidRPr="008D06A8" w:rsidRDefault="0056292F" w:rsidP="003C7F2F">
      <w:pPr>
        <w:rPr>
          <w:rFonts w:cs="Arial"/>
          <w:b/>
          <w:szCs w:val="24"/>
          <w:u w:val="single"/>
        </w:rPr>
      </w:pPr>
      <w:r w:rsidRPr="008D06A8">
        <w:rPr>
          <w:rFonts w:cs="Arial"/>
          <w:b/>
          <w:szCs w:val="24"/>
          <w:u w:val="single"/>
        </w:rPr>
        <w:t>PLACE</w:t>
      </w:r>
    </w:p>
    <w:p w14:paraId="24FE4088" w14:textId="10FD5312" w:rsidR="009A7E9D" w:rsidRPr="008D06A8" w:rsidRDefault="009A7E9D" w:rsidP="009A7E9D">
      <w:pPr>
        <w:pStyle w:val="ListParagraph"/>
        <w:ind w:left="567"/>
        <w:jc w:val="both"/>
        <w:rPr>
          <w:rFonts w:cs="Arial"/>
          <w:szCs w:val="24"/>
        </w:rPr>
      </w:pPr>
    </w:p>
    <w:p w14:paraId="6E63F5A1" w14:textId="67E3C14B" w:rsidR="008D06A8" w:rsidRPr="008D06A8" w:rsidRDefault="001025AD" w:rsidP="00157B60">
      <w:pPr>
        <w:jc w:val="both"/>
        <w:rPr>
          <w:rFonts w:cs="Arial"/>
          <w:b/>
          <w:u w:val="single"/>
        </w:rPr>
      </w:pPr>
      <w:r w:rsidRPr="008D06A8">
        <w:rPr>
          <w:rFonts w:cs="Arial"/>
          <w:b/>
          <w:u w:val="single"/>
        </w:rPr>
        <w:t xml:space="preserve">Table </w:t>
      </w:r>
      <w:r w:rsidR="008D06A8" w:rsidRPr="008D06A8">
        <w:rPr>
          <w:rFonts w:cs="Arial"/>
          <w:b/>
          <w:u w:val="single"/>
        </w:rPr>
        <w:t>6</w:t>
      </w:r>
      <w:r w:rsidRPr="008D06A8">
        <w:rPr>
          <w:rFonts w:cs="Arial"/>
          <w:b/>
          <w:u w:val="single"/>
        </w:rPr>
        <w:t xml:space="preserve">: </w:t>
      </w:r>
      <w:r w:rsidR="0056292F" w:rsidRPr="008D06A8">
        <w:rPr>
          <w:rFonts w:cs="Arial"/>
          <w:b/>
          <w:u w:val="single"/>
        </w:rPr>
        <w:t>Place</w:t>
      </w:r>
      <w:r w:rsidRPr="008D06A8">
        <w:rPr>
          <w:rFonts w:cs="Arial"/>
          <w:b/>
          <w:u w:val="single"/>
        </w:rPr>
        <w:t xml:space="preserve"> </w:t>
      </w:r>
      <w:r w:rsidR="00D207F0" w:rsidRPr="008D06A8">
        <w:rPr>
          <w:rFonts w:cs="Arial"/>
          <w:b/>
          <w:u w:val="single"/>
        </w:rPr>
        <w:t>Forecast Outturn Q</w:t>
      </w:r>
      <w:r w:rsidR="008D06A8" w:rsidRPr="008D06A8">
        <w:rPr>
          <w:rFonts w:cs="Arial"/>
          <w:b/>
          <w:u w:val="single"/>
        </w:rPr>
        <w:t>1 2023-24</w:t>
      </w:r>
    </w:p>
    <w:p w14:paraId="0DBBF833" w14:textId="63514F94" w:rsidR="00F678AF" w:rsidRPr="00541017" w:rsidRDefault="00F678AF" w:rsidP="00F678AF">
      <w:pPr>
        <w:pStyle w:val="ListParagraph"/>
        <w:ind w:left="567"/>
        <w:jc w:val="both"/>
        <w:rPr>
          <w:rFonts w:cs="Arial"/>
          <w:bCs/>
          <w:color w:val="FF0000"/>
        </w:rPr>
      </w:pPr>
    </w:p>
    <w:tbl>
      <w:tblPr>
        <w:tblStyle w:val="TableGrid"/>
        <w:tblW w:w="9923" w:type="dxa"/>
        <w:tblInd w:w="-5" w:type="dxa"/>
        <w:tblLook w:val="04A0" w:firstRow="1" w:lastRow="0" w:firstColumn="1" w:lastColumn="0" w:noHBand="0" w:noVBand="1"/>
      </w:tblPr>
      <w:tblGrid>
        <w:gridCol w:w="3527"/>
        <w:gridCol w:w="905"/>
        <w:gridCol w:w="1050"/>
        <w:gridCol w:w="1129"/>
        <w:gridCol w:w="1212"/>
        <w:gridCol w:w="1050"/>
        <w:gridCol w:w="1050"/>
      </w:tblGrid>
      <w:tr w:rsidR="00662BC4" w:rsidRPr="00662BC4" w14:paraId="0D6E0E8A" w14:textId="77777777" w:rsidTr="00662BC4">
        <w:tc>
          <w:tcPr>
            <w:tcW w:w="3527" w:type="dxa"/>
          </w:tcPr>
          <w:p w14:paraId="191426A8" w14:textId="72031BC6" w:rsidR="00D207F0" w:rsidRPr="00662BC4" w:rsidRDefault="00D207F0" w:rsidP="00D207F0">
            <w:pPr>
              <w:pStyle w:val="ListParagraph"/>
              <w:ind w:left="0"/>
              <w:jc w:val="both"/>
              <w:rPr>
                <w:rFonts w:cs="Arial"/>
                <w:b/>
                <w:bCs/>
                <w:sz w:val="20"/>
              </w:rPr>
            </w:pPr>
            <w:r w:rsidRPr="00662BC4">
              <w:rPr>
                <w:b/>
                <w:bCs/>
                <w:sz w:val="20"/>
              </w:rPr>
              <w:t>Division</w:t>
            </w:r>
          </w:p>
        </w:tc>
        <w:tc>
          <w:tcPr>
            <w:tcW w:w="905" w:type="dxa"/>
          </w:tcPr>
          <w:p w14:paraId="351BBDA5" w14:textId="4373D95B" w:rsidR="00D207F0" w:rsidRPr="00662BC4" w:rsidRDefault="00D207F0" w:rsidP="00D207F0">
            <w:pPr>
              <w:pStyle w:val="ListParagraph"/>
              <w:ind w:left="0"/>
              <w:jc w:val="center"/>
              <w:rPr>
                <w:rFonts w:cs="Arial"/>
                <w:b/>
                <w:bCs/>
                <w:sz w:val="20"/>
              </w:rPr>
            </w:pPr>
            <w:r w:rsidRPr="00662BC4">
              <w:rPr>
                <w:b/>
                <w:bCs/>
                <w:sz w:val="20"/>
              </w:rPr>
              <w:t>Budget</w:t>
            </w:r>
          </w:p>
        </w:tc>
        <w:tc>
          <w:tcPr>
            <w:tcW w:w="1050" w:type="dxa"/>
          </w:tcPr>
          <w:p w14:paraId="044728C7" w14:textId="4899DC9F" w:rsidR="00D207F0" w:rsidRPr="00662BC4" w:rsidRDefault="00D207F0" w:rsidP="00D207F0">
            <w:pPr>
              <w:pStyle w:val="ListParagraph"/>
              <w:ind w:left="0"/>
              <w:jc w:val="center"/>
              <w:rPr>
                <w:rFonts w:cs="Arial"/>
                <w:b/>
                <w:bCs/>
                <w:sz w:val="20"/>
              </w:rPr>
            </w:pPr>
            <w:r w:rsidRPr="00662BC4">
              <w:rPr>
                <w:b/>
                <w:bCs/>
                <w:sz w:val="20"/>
              </w:rPr>
              <w:t>Forecast</w:t>
            </w:r>
          </w:p>
        </w:tc>
        <w:tc>
          <w:tcPr>
            <w:tcW w:w="1129" w:type="dxa"/>
          </w:tcPr>
          <w:p w14:paraId="38F418DC" w14:textId="23C08D3E" w:rsidR="00D207F0" w:rsidRPr="00662BC4" w:rsidRDefault="00D207F0" w:rsidP="00D207F0">
            <w:pPr>
              <w:pStyle w:val="ListParagraph"/>
              <w:ind w:left="0"/>
              <w:jc w:val="center"/>
              <w:rPr>
                <w:rFonts w:cs="Arial"/>
                <w:b/>
                <w:bCs/>
                <w:sz w:val="20"/>
              </w:rPr>
            </w:pPr>
            <w:r w:rsidRPr="00662BC4">
              <w:rPr>
                <w:b/>
                <w:bCs/>
                <w:sz w:val="20"/>
              </w:rPr>
              <w:t>To/ (From) Reserves</w:t>
            </w:r>
          </w:p>
        </w:tc>
        <w:tc>
          <w:tcPr>
            <w:tcW w:w="1212" w:type="dxa"/>
          </w:tcPr>
          <w:p w14:paraId="076A7D1A" w14:textId="03374E4A" w:rsidR="00D207F0" w:rsidRPr="00662BC4" w:rsidRDefault="004D43AF" w:rsidP="00D207F0">
            <w:pPr>
              <w:pStyle w:val="ListParagraph"/>
              <w:ind w:left="0"/>
              <w:jc w:val="center"/>
              <w:rPr>
                <w:rFonts w:cs="Arial"/>
                <w:b/>
                <w:bCs/>
                <w:sz w:val="20"/>
              </w:rPr>
            </w:pPr>
            <w:r>
              <w:rPr>
                <w:b/>
                <w:bCs/>
                <w:sz w:val="20"/>
              </w:rPr>
              <w:t>Corporate Funding</w:t>
            </w:r>
          </w:p>
        </w:tc>
        <w:tc>
          <w:tcPr>
            <w:tcW w:w="1050" w:type="dxa"/>
          </w:tcPr>
          <w:p w14:paraId="1B30C676" w14:textId="32BA9E0C" w:rsidR="00D207F0" w:rsidRPr="00662BC4" w:rsidRDefault="00D207F0" w:rsidP="00D207F0">
            <w:pPr>
              <w:pStyle w:val="ListParagraph"/>
              <w:ind w:left="0"/>
              <w:jc w:val="center"/>
              <w:rPr>
                <w:rFonts w:cs="Arial"/>
                <w:b/>
                <w:bCs/>
                <w:sz w:val="20"/>
              </w:rPr>
            </w:pPr>
            <w:r w:rsidRPr="00662BC4">
              <w:rPr>
                <w:b/>
                <w:bCs/>
                <w:sz w:val="20"/>
              </w:rPr>
              <w:t>Revised Forecast</w:t>
            </w:r>
          </w:p>
        </w:tc>
        <w:tc>
          <w:tcPr>
            <w:tcW w:w="1050" w:type="dxa"/>
          </w:tcPr>
          <w:p w14:paraId="393A5224" w14:textId="1A1CC7DB" w:rsidR="00D207F0" w:rsidRPr="00662BC4" w:rsidRDefault="00D207F0" w:rsidP="00D207F0">
            <w:pPr>
              <w:pStyle w:val="ListParagraph"/>
              <w:ind w:left="0"/>
              <w:jc w:val="center"/>
              <w:rPr>
                <w:rFonts w:cs="Arial"/>
                <w:b/>
                <w:bCs/>
                <w:sz w:val="20"/>
              </w:rPr>
            </w:pPr>
            <w:r w:rsidRPr="00662BC4">
              <w:rPr>
                <w:b/>
                <w:bCs/>
                <w:sz w:val="20"/>
              </w:rPr>
              <w:t>Variance to budget</w:t>
            </w:r>
          </w:p>
        </w:tc>
      </w:tr>
      <w:tr w:rsidR="00662BC4" w:rsidRPr="00662BC4" w14:paraId="78E21F39" w14:textId="77777777" w:rsidTr="00662BC4">
        <w:tc>
          <w:tcPr>
            <w:tcW w:w="3527" w:type="dxa"/>
          </w:tcPr>
          <w:p w14:paraId="52308758" w14:textId="77777777" w:rsidR="00D207F0" w:rsidRPr="00662BC4" w:rsidRDefault="00D207F0" w:rsidP="00D207F0">
            <w:pPr>
              <w:pStyle w:val="ListParagraph"/>
              <w:ind w:left="0"/>
              <w:jc w:val="both"/>
              <w:rPr>
                <w:rFonts w:cs="Arial"/>
                <w:b/>
                <w:sz w:val="20"/>
              </w:rPr>
            </w:pPr>
          </w:p>
        </w:tc>
        <w:tc>
          <w:tcPr>
            <w:tcW w:w="905" w:type="dxa"/>
          </w:tcPr>
          <w:p w14:paraId="2AC51230" w14:textId="771D60D1" w:rsidR="00D207F0" w:rsidRPr="00662BC4" w:rsidRDefault="00D207F0" w:rsidP="00D207F0">
            <w:pPr>
              <w:pStyle w:val="ListParagraph"/>
              <w:ind w:left="0"/>
              <w:jc w:val="center"/>
              <w:rPr>
                <w:rFonts w:cs="Arial"/>
                <w:b/>
                <w:bCs/>
                <w:sz w:val="20"/>
              </w:rPr>
            </w:pPr>
            <w:r w:rsidRPr="00662BC4">
              <w:rPr>
                <w:b/>
                <w:bCs/>
                <w:sz w:val="20"/>
              </w:rPr>
              <w:t>£000</w:t>
            </w:r>
          </w:p>
        </w:tc>
        <w:tc>
          <w:tcPr>
            <w:tcW w:w="1050" w:type="dxa"/>
          </w:tcPr>
          <w:p w14:paraId="65577F65" w14:textId="60319CCF" w:rsidR="00D207F0" w:rsidRPr="00662BC4" w:rsidRDefault="00D207F0" w:rsidP="00D207F0">
            <w:pPr>
              <w:pStyle w:val="ListParagraph"/>
              <w:ind w:left="0"/>
              <w:jc w:val="center"/>
              <w:rPr>
                <w:rFonts w:cs="Arial"/>
                <w:b/>
                <w:bCs/>
                <w:sz w:val="20"/>
              </w:rPr>
            </w:pPr>
            <w:r w:rsidRPr="00662BC4">
              <w:rPr>
                <w:b/>
                <w:bCs/>
                <w:sz w:val="20"/>
              </w:rPr>
              <w:t>£000</w:t>
            </w:r>
          </w:p>
        </w:tc>
        <w:tc>
          <w:tcPr>
            <w:tcW w:w="1129" w:type="dxa"/>
          </w:tcPr>
          <w:p w14:paraId="68BF3C3A" w14:textId="09C75E55" w:rsidR="00D207F0" w:rsidRPr="00662BC4" w:rsidRDefault="00D207F0" w:rsidP="00D207F0">
            <w:pPr>
              <w:pStyle w:val="ListParagraph"/>
              <w:ind w:left="0"/>
              <w:jc w:val="center"/>
              <w:rPr>
                <w:rFonts w:cs="Arial"/>
                <w:b/>
                <w:bCs/>
                <w:sz w:val="20"/>
              </w:rPr>
            </w:pPr>
            <w:r w:rsidRPr="00662BC4">
              <w:rPr>
                <w:b/>
                <w:bCs/>
                <w:sz w:val="20"/>
              </w:rPr>
              <w:t>£000</w:t>
            </w:r>
          </w:p>
        </w:tc>
        <w:tc>
          <w:tcPr>
            <w:tcW w:w="1212" w:type="dxa"/>
          </w:tcPr>
          <w:p w14:paraId="0B76648D" w14:textId="3A3A4EFB" w:rsidR="00D207F0" w:rsidRPr="00662BC4" w:rsidRDefault="00D207F0" w:rsidP="00D207F0">
            <w:pPr>
              <w:pStyle w:val="ListParagraph"/>
              <w:ind w:left="0"/>
              <w:jc w:val="center"/>
              <w:rPr>
                <w:rFonts w:cs="Arial"/>
                <w:b/>
                <w:bCs/>
                <w:sz w:val="20"/>
              </w:rPr>
            </w:pPr>
            <w:r w:rsidRPr="00662BC4">
              <w:rPr>
                <w:b/>
                <w:bCs/>
                <w:sz w:val="20"/>
              </w:rPr>
              <w:t>£000</w:t>
            </w:r>
          </w:p>
        </w:tc>
        <w:tc>
          <w:tcPr>
            <w:tcW w:w="1050" w:type="dxa"/>
          </w:tcPr>
          <w:p w14:paraId="7ECF16EA" w14:textId="6EAF5941" w:rsidR="00D207F0" w:rsidRPr="00662BC4" w:rsidRDefault="00D207F0" w:rsidP="00D207F0">
            <w:pPr>
              <w:pStyle w:val="ListParagraph"/>
              <w:ind w:left="0"/>
              <w:jc w:val="center"/>
              <w:rPr>
                <w:rFonts w:cs="Arial"/>
                <w:b/>
                <w:bCs/>
                <w:sz w:val="20"/>
              </w:rPr>
            </w:pPr>
            <w:r w:rsidRPr="00662BC4">
              <w:rPr>
                <w:b/>
                <w:bCs/>
                <w:sz w:val="20"/>
              </w:rPr>
              <w:t>£000</w:t>
            </w:r>
          </w:p>
        </w:tc>
        <w:tc>
          <w:tcPr>
            <w:tcW w:w="1050" w:type="dxa"/>
          </w:tcPr>
          <w:p w14:paraId="69AEFB0D" w14:textId="15B38F8A" w:rsidR="00D207F0" w:rsidRPr="00662BC4" w:rsidRDefault="00D207F0" w:rsidP="00D207F0">
            <w:pPr>
              <w:pStyle w:val="ListParagraph"/>
              <w:ind w:left="0"/>
              <w:jc w:val="center"/>
              <w:rPr>
                <w:rFonts w:cs="Arial"/>
                <w:b/>
                <w:bCs/>
                <w:sz w:val="20"/>
              </w:rPr>
            </w:pPr>
            <w:r w:rsidRPr="00662BC4">
              <w:rPr>
                <w:b/>
                <w:bCs/>
                <w:sz w:val="20"/>
              </w:rPr>
              <w:t>£000</w:t>
            </w:r>
          </w:p>
        </w:tc>
      </w:tr>
      <w:tr w:rsidR="004D43AF" w:rsidRPr="00662BC4" w14:paraId="3676ED5F" w14:textId="77777777" w:rsidTr="003D3723">
        <w:tc>
          <w:tcPr>
            <w:tcW w:w="3527" w:type="dxa"/>
            <w:shd w:val="clear" w:color="auto" w:fill="auto"/>
          </w:tcPr>
          <w:p w14:paraId="15D4D76E" w14:textId="39AB2EA4" w:rsidR="004D43AF" w:rsidRPr="00662BC4" w:rsidRDefault="004D43AF" w:rsidP="004D43AF">
            <w:pPr>
              <w:pStyle w:val="ListParagraph"/>
              <w:ind w:left="0"/>
              <w:rPr>
                <w:rFonts w:cs="Arial"/>
                <w:bCs/>
                <w:sz w:val="20"/>
              </w:rPr>
            </w:pPr>
            <w:r w:rsidRPr="00662BC4">
              <w:rPr>
                <w:sz w:val="20"/>
              </w:rPr>
              <w:t>Directorate Management</w:t>
            </w:r>
          </w:p>
        </w:tc>
        <w:tc>
          <w:tcPr>
            <w:tcW w:w="905" w:type="dxa"/>
            <w:tcBorders>
              <w:top w:val="nil"/>
              <w:left w:val="nil"/>
              <w:bottom w:val="single" w:sz="8" w:space="0" w:color="auto"/>
              <w:right w:val="single" w:sz="8" w:space="0" w:color="auto"/>
            </w:tcBorders>
            <w:shd w:val="clear" w:color="000000" w:fill="FFFFFF"/>
            <w:vAlign w:val="center"/>
          </w:tcPr>
          <w:p w14:paraId="2159450B" w14:textId="18C4CA73" w:rsidR="004D43AF" w:rsidRPr="00662BC4" w:rsidRDefault="004D43AF" w:rsidP="004D43AF">
            <w:pPr>
              <w:pStyle w:val="ListParagraph"/>
              <w:ind w:left="0"/>
              <w:jc w:val="right"/>
              <w:rPr>
                <w:rFonts w:cs="Arial"/>
                <w:bCs/>
                <w:sz w:val="20"/>
              </w:rPr>
            </w:pPr>
            <w:r>
              <w:rPr>
                <w:rFonts w:cs="Arial"/>
                <w:color w:val="000000"/>
                <w:sz w:val="20"/>
              </w:rPr>
              <w:t>292</w:t>
            </w:r>
          </w:p>
        </w:tc>
        <w:tc>
          <w:tcPr>
            <w:tcW w:w="1050" w:type="dxa"/>
            <w:tcBorders>
              <w:top w:val="nil"/>
              <w:left w:val="nil"/>
              <w:bottom w:val="single" w:sz="8" w:space="0" w:color="auto"/>
              <w:right w:val="single" w:sz="8" w:space="0" w:color="auto"/>
            </w:tcBorders>
            <w:shd w:val="clear" w:color="000000" w:fill="FFFFFF"/>
            <w:vAlign w:val="center"/>
          </w:tcPr>
          <w:p w14:paraId="78BA85AB" w14:textId="57266705" w:rsidR="004D43AF" w:rsidRPr="00662BC4" w:rsidRDefault="004D43AF" w:rsidP="004D43AF">
            <w:pPr>
              <w:pStyle w:val="ListParagraph"/>
              <w:ind w:left="0"/>
              <w:jc w:val="right"/>
              <w:rPr>
                <w:rFonts w:cs="Arial"/>
                <w:bCs/>
                <w:sz w:val="20"/>
              </w:rPr>
            </w:pPr>
            <w:r>
              <w:rPr>
                <w:rFonts w:cs="Arial"/>
                <w:color w:val="000000"/>
                <w:sz w:val="20"/>
              </w:rPr>
              <w:t>498</w:t>
            </w:r>
          </w:p>
        </w:tc>
        <w:tc>
          <w:tcPr>
            <w:tcW w:w="1129" w:type="dxa"/>
            <w:tcBorders>
              <w:top w:val="nil"/>
              <w:left w:val="nil"/>
              <w:bottom w:val="single" w:sz="8" w:space="0" w:color="auto"/>
              <w:right w:val="single" w:sz="8" w:space="0" w:color="auto"/>
            </w:tcBorders>
            <w:shd w:val="clear" w:color="000000" w:fill="FFFFFF"/>
            <w:vAlign w:val="center"/>
          </w:tcPr>
          <w:p w14:paraId="26A6E6AF" w14:textId="1371990B" w:rsidR="004D43AF" w:rsidRPr="00662BC4" w:rsidRDefault="004D43AF" w:rsidP="004D43AF">
            <w:pPr>
              <w:pStyle w:val="ListParagraph"/>
              <w:ind w:left="0"/>
              <w:jc w:val="right"/>
              <w:rPr>
                <w:rFonts w:cs="Arial"/>
                <w:bCs/>
                <w:sz w:val="20"/>
              </w:rPr>
            </w:pPr>
            <w:r>
              <w:rPr>
                <w:rFonts w:cs="Arial"/>
                <w:color w:val="000000"/>
                <w:sz w:val="20"/>
              </w:rPr>
              <w:t>-81</w:t>
            </w:r>
          </w:p>
        </w:tc>
        <w:tc>
          <w:tcPr>
            <w:tcW w:w="1212" w:type="dxa"/>
            <w:tcBorders>
              <w:top w:val="nil"/>
              <w:left w:val="nil"/>
              <w:bottom w:val="single" w:sz="8" w:space="0" w:color="auto"/>
              <w:right w:val="single" w:sz="8" w:space="0" w:color="auto"/>
            </w:tcBorders>
            <w:shd w:val="clear" w:color="000000" w:fill="FFFFFF"/>
            <w:vAlign w:val="center"/>
          </w:tcPr>
          <w:p w14:paraId="6BECA143" w14:textId="5B2718D1" w:rsidR="004D43AF" w:rsidRPr="00662BC4" w:rsidRDefault="004D43AF" w:rsidP="004D43AF">
            <w:pPr>
              <w:pStyle w:val="ListParagraph"/>
              <w:ind w:left="0"/>
              <w:jc w:val="right"/>
              <w:rPr>
                <w:rFonts w:cs="Arial"/>
                <w:bCs/>
                <w:sz w:val="20"/>
              </w:rPr>
            </w:pPr>
            <w:r>
              <w:rPr>
                <w:rFonts w:cs="Arial"/>
                <w:color w:val="000000"/>
                <w:sz w:val="20"/>
              </w:rPr>
              <w:t>0</w:t>
            </w:r>
          </w:p>
        </w:tc>
        <w:tc>
          <w:tcPr>
            <w:tcW w:w="1050" w:type="dxa"/>
            <w:tcBorders>
              <w:top w:val="nil"/>
              <w:left w:val="nil"/>
              <w:bottom w:val="single" w:sz="8" w:space="0" w:color="auto"/>
              <w:right w:val="single" w:sz="8" w:space="0" w:color="auto"/>
            </w:tcBorders>
            <w:shd w:val="clear" w:color="auto" w:fill="auto"/>
            <w:vAlign w:val="center"/>
          </w:tcPr>
          <w:p w14:paraId="6953B751" w14:textId="5F242652" w:rsidR="004D43AF" w:rsidRPr="00662BC4" w:rsidRDefault="004D43AF" w:rsidP="004D43AF">
            <w:pPr>
              <w:pStyle w:val="ListParagraph"/>
              <w:ind w:left="0"/>
              <w:jc w:val="right"/>
              <w:rPr>
                <w:rFonts w:cs="Arial"/>
                <w:bCs/>
                <w:sz w:val="20"/>
              </w:rPr>
            </w:pPr>
            <w:r>
              <w:rPr>
                <w:rFonts w:cs="Arial"/>
                <w:color w:val="000000"/>
                <w:sz w:val="20"/>
              </w:rPr>
              <w:t>417</w:t>
            </w:r>
          </w:p>
        </w:tc>
        <w:tc>
          <w:tcPr>
            <w:tcW w:w="1050" w:type="dxa"/>
            <w:tcBorders>
              <w:top w:val="nil"/>
              <w:left w:val="nil"/>
              <w:bottom w:val="single" w:sz="8" w:space="0" w:color="auto"/>
              <w:right w:val="single" w:sz="8" w:space="0" w:color="auto"/>
            </w:tcBorders>
            <w:shd w:val="clear" w:color="000000" w:fill="F2F2F2"/>
            <w:vAlign w:val="center"/>
          </w:tcPr>
          <w:p w14:paraId="4BAC9257" w14:textId="6FED90DC" w:rsidR="004D43AF" w:rsidRPr="00662BC4" w:rsidRDefault="004D43AF" w:rsidP="004D43AF">
            <w:pPr>
              <w:pStyle w:val="ListParagraph"/>
              <w:ind w:left="0"/>
              <w:jc w:val="right"/>
              <w:rPr>
                <w:rFonts w:cs="Arial"/>
                <w:bCs/>
                <w:sz w:val="20"/>
              </w:rPr>
            </w:pPr>
            <w:r>
              <w:rPr>
                <w:rFonts w:cs="Arial"/>
                <w:color w:val="000000"/>
                <w:sz w:val="20"/>
              </w:rPr>
              <w:t>125</w:t>
            </w:r>
          </w:p>
        </w:tc>
      </w:tr>
      <w:tr w:rsidR="004D43AF" w:rsidRPr="00662BC4" w14:paraId="09F01705" w14:textId="77777777" w:rsidTr="003D3723">
        <w:tc>
          <w:tcPr>
            <w:tcW w:w="3527" w:type="dxa"/>
            <w:shd w:val="clear" w:color="auto" w:fill="auto"/>
          </w:tcPr>
          <w:p w14:paraId="0B7D2038" w14:textId="09036A28" w:rsidR="004D43AF" w:rsidRPr="00662BC4" w:rsidRDefault="004D43AF" w:rsidP="004D43AF">
            <w:pPr>
              <w:pStyle w:val="ListParagraph"/>
              <w:ind w:left="0"/>
              <w:jc w:val="both"/>
              <w:rPr>
                <w:rFonts w:cs="Arial"/>
                <w:bCs/>
                <w:sz w:val="20"/>
              </w:rPr>
            </w:pPr>
            <w:r w:rsidRPr="00662BC4">
              <w:rPr>
                <w:sz w:val="20"/>
              </w:rPr>
              <w:t>Environment</w:t>
            </w:r>
          </w:p>
        </w:tc>
        <w:tc>
          <w:tcPr>
            <w:tcW w:w="905" w:type="dxa"/>
            <w:tcBorders>
              <w:top w:val="nil"/>
              <w:left w:val="nil"/>
              <w:bottom w:val="single" w:sz="8" w:space="0" w:color="auto"/>
              <w:right w:val="single" w:sz="8" w:space="0" w:color="auto"/>
            </w:tcBorders>
            <w:shd w:val="clear" w:color="000000" w:fill="FFFFFF"/>
            <w:vAlign w:val="center"/>
          </w:tcPr>
          <w:p w14:paraId="5A49BB7D" w14:textId="7FB8E468" w:rsidR="004D43AF" w:rsidRPr="00662BC4" w:rsidRDefault="004D43AF" w:rsidP="004D43AF">
            <w:pPr>
              <w:pStyle w:val="ListParagraph"/>
              <w:ind w:left="0"/>
              <w:jc w:val="right"/>
              <w:rPr>
                <w:rFonts w:cs="Arial"/>
                <w:bCs/>
                <w:sz w:val="20"/>
              </w:rPr>
            </w:pPr>
            <w:r>
              <w:rPr>
                <w:rFonts w:cs="Arial"/>
                <w:color w:val="000000"/>
                <w:sz w:val="20"/>
              </w:rPr>
              <w:t>19,281</w:t>
            </w:r>
          </w:p>
        </w:tc>
        <w:tc>
          <w:tcPr>
            <w:tcW w:w="1050" w:type="dxa"/>
            <w:tcBorders>
              <w:top w:val="nil"/>
              <w:left w:val="nil"/>
              <w:bottom w:val="single" w:sz="8" w:space="0" w:color="auto"/>
              <w:right w:val="single" w:sz="8" w:space="0" w:color="auto"/>
            </w:tcBorders>
            <w:shd w:val="clear" w:color="000000" w:fill="FFFFFF"/>
            <w:vAlign w:val="center"/>
          </w:tcPr>
          <w:p w14:paraId="59AA9E9F" w14:textId="16E9DD9B" w:rsidR="004D43AF" w:rsidRPr="00662BC4" w:rsidRDefault="004D43AF" w:rsidP="004D43AF">
            <w:pPr>
              <w:pStyle w:val="ListParagraph"/>
              <w:ind w:left="0"/>
              <w:jc w:val="right"/>
              <w:rPr>
                <w:rFonts w:cs="Arial"/>
                <w:bCs/>
                <w:sz w:val="20"/>
              </w:rPr>
            </w:pPr>
            <w:r>
              <w:rPr>
                <w:rFonts w:cs="Arial"/>
                <w:color w:val="000000"/>
                <w:sz w:val="20"/>
              </w:rPr>
              <w:t>21,889</w:t>
            </w:r>
          </w:p>
        </w:tc>
        <w:tc>
          <w:tcPr>
            <w:tcW w:w="1129" w:type="dxa"/>
            <w:tcBorders>
              <w:top w:val="nil"/>
              <w:left w:val="nil"/>
              <w:bottom w:val="single" w:sz="8" w:space="0" w:color="auto"/>
              <w:right w:val="single" w:sz="8" w:space="0" w:color="auto"/>
            </w:tcBorders>
            <w:shd w:val="clear" w:color="000000" w:fill="FFFFFF"/>
            <w:vAlign w:val="center"/>
          </w:tcPr>
          <w:p w14:paraId="01942F67" w14:textId="55670C1B" w:rsidR="004D43AF" w:rsidRPr="00662BC4" w:rsidRDefault="004D43AF" w:rsidP="004D43AF">
            <w:pPr>
              <w:pStyle w:val="ListParagraph"/>
              <w:ind w:left="0"/>
              <w:jc w:val="right"/>
              <w:rPr>
                <w:rFonts w:cs="Arial"/>
                <w:bCs/>
                <w:sz w:val="20"/>
              </w:rPr>
            </w:pPr>
            <w:r>
              <w:rPr>
                <w:rFonts w:cs="Arial"/>
                <w:color w:val="000000"/>
                <w:sz w:val="20"/>
              </w:rPr>
              <w:t>-513</w:t>
            </w:r>
          </w:p>
        </w:tc>
        <w:tc>
          <w:tcPr>
            <w:tcW w:w="1212" w:type="dxa"/>
            <w:tcBorders>
              <w:top w:val="nil"/>
              <w:left w:val="nil"/>
              <w:bottom w:val="single" w:sz="8" w:space="0" w:color="auto"/>
              <w:right w:val="single" w:sz="8" w:space="0" w:color="auto"/>
            </w:tcBorders>
            <w:shd w:val="clear" w:color="000000" w:fill="FFFFFF"/>
            <w:vAlign w:val="center"/>
          </w:tcPr>
          <w:p w14:paraId="2CEB3CA4" w14:textId="071F9996" w:rsidR="004D43AF" w:rsidRPr="00662BC4" w:rsidRDefault="004D43AF" w:rsidP="004D43AF">
            <w:pPr>
              <w:pStyle w:val="ListParagraph"/>
              <w:ind w:left="0"/>
              <w:jc w:val="right"/>
              <w:rPr>
                <w:rFonts w:cs="Arial"/>
                <w:bCs/>
                <w:sz w:val="20"/>
              </w:rPr>
            </w:pPr>
            <w:r>
              <w:rPr>
                <w:rFonts w:cs="Arial"/>
                <w:color w:val="000000"/>
                <w:sz w:val="20"/>
              </w:rPr>
              <w:t>0</w:t>
            </w:r>
          </w:p>
        </w:tc>
        <w:tc>
          <w:tcPr>
            <w:tcW w:w="1050" w:type="dxa"/>
            <w:tcBorders>
              <w:top w:val="nil"/>
              <w:left w:val="nil"/>
              <w:bottom w:val="single" w:sz="8" w:space="0" w:color="auto"/>
              <w:right w:val="single" w:sz="8" w:space="0" w:color="auto"/>
            </w:tcBorders>
            <w:shd w:val="clear" w:color="auto" w:fill="auto"/>
            <w:vAlign w:val="center"/>
          </w:tcPr>
          <w:p w14:paraId="34E83456" w14:textId="41408337" w:rsidR="004D43AF" w:rsidRPr="00662BC4" w:rsidRDefault="004D43AF" w:rsidP="004D43AF">
            <w:pPr>
              <w:pStyle w:val="ListParagraph"/>
              <w:ind w:left="0"/>
              <w:jc w:val="right"/>
              <w:rPr>
                <w:rFonts w:cs="Arial"/>
                <w:bCs/>
                <w:sz w:val="20"/>
              </w:rPr>
            </w:pPr>
            <w:r>
              <w:rPr>
                <w:rFonts w:cs="Arial"/>
                <w:color w:val="000000"/>
                <w:sz w:val="20"/>
              </w:rPr>
              <w:t>21,376</w:t>
            </w:r>
          </w:p>
        </w:tc>
        <w:tc>
          <w:tcPr>
            <w:tcW w:w="1050" w:type="dxa"/>
            <w:tcBorders>
              <w:top w:val="nil"/>
              <w:left w:val="nil"/>
              <w:bottom w:val="single" w:sz="8" w:space="0" w:color="auto"/>
              <w:right w:val="single" w:sz="8" w:space="0" w:color="auto"/>
            </w:tcBorders>
            <w:shd w:val="clear" w:color="000000" w:fill="F2F2F2"/>
            <w:vAlign w:val="center"/>
          </w:tcPr>
          <w:p w14:paraId="4B2C9F82" w14:textId="2D89355C" w:rsidR="004D43AF" w:rsidRPr="00662BC4" w:rsidRDefault="004D43AF" w:rsidP="004D43AF">
            <w:pPr>
              <w:pStyle w:val="ListParagraph"/>
              <w:ind w:left="0"/>
              <w:jc w:val="right"/>
              <w:rPr>
                <w:rFonts w:cs="Arial"/>
                <w:bCs/>
                <w:sz w:val="20"/>
              </w:rPr>
            </w:pPr>
            <w:r>
              <w:rPr>
                <w:rFonts w:cs="Arial"/>
                <w:color w:val="000000"/>
                <w:sz w:val="20"/>
              </w:rPr>
              <w:t>2,095</w:t>
            </w:r>
          </w:p>
        </w:tc>
      </w:tr>
      <w:tr w:rsidR="004D43AF" w:rsidRPr="00662BC4" w14:paraId="7F19FE51" w14:textId="77777777" w:rsidTr="003D3723">
        <w:tc>
          <w:tcPr>
            <w:tcW w:w="3527" w:type="dxa"/>
            <w:shd w:val="clear" w:color="auto" w:fill="auto"/>
          </w:tcPr>
          <w:p w14:paraId="5AAFD7A8" w14:textId="5F3FDEA4" w:rsidR="004D43AF" w:rsidRPr="00662BC4" w:rsidRDefault="004D43AF" w:rsidP="004D43AF">
            <w:pPr>
              <w:pStyle w:val="ListParagraph"/>
              <w:ind w:left="0"/>
              <w:jc w:val="both"/>
              <w:rPr>
                <w:rFonts w:cs="Arial"/>
                <w:bCs/>
                <w:sz w:val="20"/>
              </w:rPr>
            </w:pPr>
            <w:r w:rsidRPr="00662BC4">
              <w:rPr>
                <w:sz w:val="20"/>
              </w:rPr>
              <w:t>Inclusive Economy, Leisure &amp; Culture</w:t>
            </w:r>
          </w:p>
        </w:tc>
        <w:tc>
          <w:tcPr>
            <w:tcW w:w="905" w:type="dxa"/>
            <w:tcBorders>
              <w:top w:val="nil"/>
              <w:left w:val="nil"/>
              <w:bottom w:val="single" w:sz="8" w:space="0" w:color="auto"/>
              <w:right w:val="single" w:sz="8" w:space="0" w:color="auto"/>
            </w:tcBorders>
            <w:shd w:val="clear" w:color="000000" w:fill="FFFFFF"/>
            <w:vAlign w:val="center"/>
          </w:tcPr>
          <w:p w14:paraId="26F134C1" w14:textId="7B1A6653" w:rsidR="004D43AF" w:rsidRPr="00662BC4" w:rsidRDefault="004D43AF" w:rsidP="004D43AF">
            <w:pPr>
              <w:pStyle w:val="ListParagraph"/>
              <w:ind w:left="0"/>
              <w:jc w:val="right"/>
              <w:rPr>
                <w:rFonts w:cs="Arial"/>
                <w:bCs/>
                <w:sz w:val="20"/>
              </w:rPr>
            </w:pPr>
            <w:r>
              <w:rPr>
                <w:rFonts w:cs="Arial"/>
                <w:color w:val="000000"/>
                <w:sz w:val="20"/>
              </w:rPr>
              <w:t>4,156</w:t>
            </w:r>
          </w:p>
        </w:tc>
        <w:tc>
          <w:tcPr>
            <w:tcW w:w="1050" w:type="dxa"/>
            <w:tcBorders>
              <w:top w:val="nil"/>
              <w:left w:val="nil"/>
              <w:bottom w:val="single" w:sz="8" w:space="0" w:color="auto"/>
              <w:right w:val="single" w:sz="8" w:space="0" w:color="auto"/>
            </w:tcBorders>
            <w:shd w:val="clear" w:color="000000" w:fill="FFFFFF"/>
            <w:vAlign w:val="center"/>
          </w:tcPr>
          <w:p w14:paraId="0E819919" w14:textId="799B73D2" w:rsidR="004D43AF" w:rsidRPr="00662BC4" w:rsidRDefault="004D43AF" w:rsidP="004D43AF">
            <w:pPr>
              <w:pStyle w:val="ListParagraph"/>
              <w:ind w:left="0"/>
              <w:jc w:val="right"/>
              <w:rPr>
                <w:rFonts w:cs="Arial"/>
                <w:bCs/>
                <w:sz w:val="20"/>
              </w:rPr>
            </w:pPr>
            <w:r>
              <w:rPr>
                <w:rFonts w:cs="Arial"/>
                <w:color w:val="000000"/>
                <w:sz w:val="20"/>
              </w:rPr>
              <w:t>4,137</w:t>
            </w:r>
          </w:p>
        </w:tc>
        <w:tc>
          <w:tcPr>
            <w:tcW w:w="1129" w:type="dxa"/>
            <w:tcBorders>
              <w:top w:val="nil"/>
              <w:left w:val="nil"/>
              <w:bottom w:val="single" w:sz="8" w:space="0" w:color="auto"/>
              <w:right w:val="single" w:sz="8" w:space="0" w:color="auto"/>
            </w:tcBorders>
            <w:shd w:val="clear" w:color="000000" w:fill="FFFFFF"/>
            <w:vAlign w:val="center"/>
          </w:tcPr>
          <w:p w14:paraId="1CDB046A" w14:textId="1C6B2038" w:rsidR="004D43AF" w:rsidRPr="00662BC4" w:rsidRDefault="004D43AF" w:rsidP="004D43AF">
            <w:pPr>
              <w:pStyle w:val="ListParagraph"/>
              <w:ind w:left="0"/>
              <w:jc w:val="right"/>
              <w:rPr>
                <w:rFonts w:cs="Arial"/>
                <w:bCs/>
                <w:sz w:val="20"/>
              </w:rPr>
            </w:pPr>
            <w:r>
              <w:rPr>
                <w:rFonts w:cs="Arial"/>
                <w:color w:val="000000"/>
                <w:sz w:val="20"/>
              </w:rPr>
              <w:t>-80</w:t>
            </w:r>
          </w:p>
        </w:tc>
        <w:tc>
          <w:tcPr>
            <w:tcW w:w="1212" w:type="dxa"/>
            <w:tcBorders>
              <w:top w:val="nil"/>
              <w:left w:val="nil"/>
              <w:bottom w:val="single" w:sz="8" w:space="0" w:color="auto"/>
              <w:right w:val="single" w:sz="8" w:space="0" w:color="auto"/>
            </w:tcBorders>
            <w:shd w:val="clear" w:color="000000" w:fill="FFFFFF"/>
            <w:vAlign w:val="center"/>
          </w:tcPr>
          <w:p w14:paraId="1945100E" w14:textId="5DECB791" w:rsidR="004D43AF" w:rsidRPr="00662BC4" w:rsidRDefault="004D43AF" w:rsidP="004D43AF">
            <w:pPr>
              <w:pStyle w:val="ListParagraph"/>
              <w:ind w:left="0"/>
              <w:jc w:val="right"/>
              <w:rPr>
                <w:rFonts w:cs="Arial"/>
                <w:bCs/>
                <w:sz w:val="20"/>
              </w:rPr>
            </w:pPr>
            <w:r>
              <w:rPr>
                <w:rFonts w:cs="Arial"/>
                <w:color w:val="000000"/>
                <w:sz w:val="20"/>
              </w:rPr>
              <w:t>0</w:t>
            </w:r>
          </w:p>
        </w:tc>
        <w:tc>
          <w:tcPr>
            <w:tcW w:w="1050" w:type="dxa"/>
            <w:tcBorders>
              <w:top w:val="nil"/>
              <w:left w:val="nil"/>
              <w:bottom w:val="single" w:sz="8" w:space="0" w:color="auto"/>
              <w:right w:val="single" w:sz="8" w:space="0" w:color="auto"/>
            </w:tcBorders>
            <w:shd w:val="clear" w:color="auto" w:fill="auto"/>
            <w:vAlign w:val="center"/>
          </w:tcPr>
          <w:p w14:paraId="68B3F0E0" w14:textId="253FD9E0" w:rsidR="004D43AF" w:rsidRPr="00662BC4" w:rsidRDefault="004D43AF" w:rsidP="004D43AF">
            <w:pPr>
              <w:pStyle w:val="ListParagraph"/>
              <w:ind w:left="0"/>
              <w:jc w:val="right"/>
              <w:rPr>
                <w:rFonts w:cs="Arial"/>
                <w:bCs/>
                <w:sz w:val="20"/>
              </w:rPr>
            </w:pPr>
            <w:r>
              <w:rPr>
                <w:rFonts w:cs="Arial"/>
                <w:color w:val="000000"/>
                <w:sz w:val="20"/>
              </w:rPr>
              <w:t>4,057</w:t>
            </w:r>
          </w:p>
        </w:tc>
        <w:tc>
          <w:tcPr>
            <w:tcW w:w="1050" w:type="dxa"/>
            <w:tcBorders>
              <w:top w:val="nil"/>
              <w:left w:val="nil"/>
              <w:bottom w:val="single" w:sz="8" w:space="0" w:color="auto"/>
              <w:right w:val="single" w:sz="8" w:space="0" w:color="auto"/>
            </w:tcBorders>
            <w:shd w:val="clear" w:color="000000" w:fill="F2F2F2"/>
            <w:vAlign w:val="center"/>
          </w:tcPr>
          <w:p w14:paraId="5A2CADF2" w14:textId="24C91695" w:rsidR="004D43AF" w:rsidRPr="00662BC4" w:rsidRDefault="004D43AF" w:rsidP="004D43AF">
            <w:pPr>
              <w:pStyle w:val="ListParagraph"/>
              <w:ind w:left="0"/>
              <w:jc w:val="right"/>
              <w:rPr>
                <w:rFonts w:cs="Arial"/>
                <w:bCs/>
                <w:sz w:val="20"/>
              </w:rPr>
            </w:pPr>
            <w:r>
              <w:rPr>
                <w:rFonts w:cs="Arial"/>
                <w:color w:val="000000"/>
                <w:sz w:val="20"/>
              </w:rPr>
              <w:t>-99</w:t>
            </w:r>
          </w:p>
        </w:tc>
      </w:tr>
      <w:tr w:rsidR="004D43AF" w:rsidRPr="00662BC4" w14:paraId="3D20C1EE" w14:textId="77777777" w:rsidTr="003D3723">
        <w:tc>
          <w:tcPr>
            <w:tcW w:w="3527" w:type="dxa"/>
            <w:shd w:val="clear" w:color="auto" w:fill="auto"/>
          </w:tcPr>
          <w:p w14:paraId="233E6EBA" w14:textId="31F03CB7" w:rsidR="004D43AF" w:rsidRPr="00662BC4" w:rsidRDefault="004D43AF" w:rsidP="004D43AF">
            <w:pPr>
              <w:pStyle w:val="ListParagraph"/>
              <w:ind w:left="0"/>
              <w:jc w:val="both"/>
              <w:rPr>
                <w:rFonts w:cs="Arial"/>
                <w:bCs/>
                <w:sz w:val="20"/>
              </w:rPr>
            </w:pPr>
            <w:r w:rsidRPr="00662BC4">
              <w:rPr>
                <w:sz w:val="20"/>
              </w:rPr>
              <w:t>Regeneration &amp; Development</w:t>
            </w:r>
          </w:p>
        </w:tc>
        <w:tc>
          <w:tcPr>
            <w:tcW w:w="905" w:type="dxa"/>
            <w:tcBorders>
              <w:top w:val="nil"/>
              <w:left w:val="nil"/>
              <w:bottom w:val="single" w:sz="8" w:space="0" w:color="auto"/>
              <w:right w:val="single" w:sz="8" w:space="0" w:color="auto"/>
            </w:tcBorders>
            <w:shd w:val="clear" w:color="000000" w:fill="FFFFFF"/>
            <w:vAlign w:val="center"/>
          </w:tcPr>
          <w:p w14:paraId="2D2A8E71" w14:textId="6CE227A4" w:rsidR="004D43AF" w:rsidRPr="00662BC4" w:rsidRDefault="004D43AF" w:rsidP="004D43AF">
            <w:pPr>
              <w:pStyle w:val="ListParagraph"/>
              <w:ind w:left="0"/>
              <w:jc w:val="right"/>
              <w:rPr>
                <w:rFonts w:cs="Arial"/>
                <w:bCs/>
                <w:sz w:val="20"/>
              </w:rPr>
            </w:pPr>
            <w:r>
              <w:rPr>
                <w:rFonts w:cs="Arial"/>
                <w:color w:val="000000"/>
                <w:sz w:val="20"/>
              </w:rPr>
              <w:t>6,754</w:t>
            </w:r>
          </w:p>
        </w:tc>
        <w:tc>
          <w:tcPr>
            <w:tcW w:w="1050" w:type="dxa"/>
            <w:tcBorders>
              <w:top w:val="nil"/>
              <w:left w:val="nil"/>
              <w:bottom w:val="single" w:sz="8" w:space="0" w:color="auto"/>
              <w:right w:val="single" w:sz="8" w:space="0" w:color="auto"/>
            </w:tcBorders>
            <w:shd w:val="clear" w:color="000000" w:fill="FFFFFF"/>
            <w:vAlign w:val="center"/>
          </w:tcPr>
          <w:p w14:paraId="54A759B8" w14:textId="14C3213D" w:rsidR="004D43AF" w:rsidRPr="00662BC4" w:rsidRDefault="004D43AF" w:rsidP="004D43AF">
            <w:pPr>
              <w:pStyle w:val="ListParagraph"/>
              <w:ind w:left="0"/>
              <w:jc w:val="right"/>
              <w:rPr>
                <w:rFonts w:cs="Arial"/>
                <w:bCs/>
                <w:sz w:val="20"/>
              </w:rPr>
            </w:pPr>
            <w:r>
              <w:rPr>
                <w:rFonts w:cs="Arial"/>
                <w:color w:val="000000"/>
                <w:sz w:val="20"/>
              </w:rPr>
              <w:t>8,066</w:t>
            </w:r>
          </w:p>
        </w:tc>
        <w:tc>
          <w:tcPr>
            <w:tcW w:w="1129" w:type="dxa"/>
            <w:tcBorders>
              <w:top w:val="nil"/>
              <w:left w:val="nil"/>
              <w:bottom w:val="single" w:sz="8" w:space="0" w:color="auto"/>
              <w:right w:val="single" w:sz="8" w:space="0" w:color="auto"/>
            </w:tcBorders>
            <w:shd w:val="clear" w:color="000000" w:fill="FFFFFF"/>
            <w:vAlign w:val="center"/>
          </w:tcPr>
          <w:p w14:paraId="3329CB6D" w14:textId="2AB2ECD9" w:rsidR="004D43AF" w:rsidRPr="00662BC4" w:rsidRDefault="004D43AF" w:rsidP="004D43AF">
            <w:pPr>
              <w:pStyle w:val="ListParagraph"/>
              <w:ind w:left="0"/>
              <w:jc w:val="right"/>
              <w:rPr>
                <w:rFonts w:cs="Arial"/>
                <w:bCs/>
                <w:sz w:val="20"/>
              </w:rPr>
            </w:pPr>
            <w:r>
              <w:rPr>
                <w:rFonts w:cs="Arial"/>
                <w:color w:val="000000"/>
                <w:sz w:val="20"/>
              </w:rPr>
              <w:t>-612</w:t>
            </w:r>
          </w:p>
        </w:tc>
        <w:tc>
          <w:tcPr>
            <w:tcW w:w="1212" w:type="dxa"/>
            <w:tcBorders>
              <w:top w:val="nil"/>
              <w:left w:val="nil"/>
              <w:bottom w:val="single" w:sz="8" w:space="0" w:color="auto"/>
              <w:right w:val="single" w:sz="8" w:space="0" w:color="auto"/>
            </w:tcBorders>
            <w:shd w:val="clear" w:color="000000" w:fill="FFFFFF"/>
            <w:vAlign w:val="center"/>
          </w:tcPr>
          <w:p w14:paraId="656DD76F" w14:textId="650B9B2B" w:rsidR="004D43AF" w:rsidRPr="00662BC4" w:rsidRDefault="004D43AF" w:rsidP="004D43AF">
            <w:pPr>
              <w:pStyle w:val="ListParagraph"/>
              <w:ind w:left="0"/>
              <w:jc w:val="right"/>
              <w:rPr>
                <w:rFonts w:cs="Arial"/>
                <w:bCs/>
                <w:sz w:val="20"/>
              </w:rPr>
            </w:pPr>
            <w:r>
              <w:rPr>
                <w:rFonts w:cs="Arial"/>
                <w:color w:val="000000"/>
                <w:sz w:val="20"/>
              </w:rPr>
              <w:t>0</w:t>
            </w:r>
          </w:p>
        </w:tc>
        <w:tc>
          <w:tcPr>
            <w:tcW w:w="1050" w:type="dxa"/>
            <w:tcBorders>
              <w:top w:val="nil"/>
              <w:left w:val="nil"/>
              <w:bottom w:val="single" w:sz="8" w:space="0" w:color="auto"/>
              <w:right w:val="single" w:sz="8" w:space="0" w:color="auto"/>
            </w:tcBorders>
            <w:shd w:val="clear" w:color="auto" w:fill="auto"/>
            <w:vAlign w:val="center"/>
          </w:tcPr>
          <w:p w14:paraId="794C7660" w14:textId="5ED6641C" w:rsidR="004D43AF" w:rsidRPr="00662BC4" w:rsidRDefault="004D43AF" w:rsidP="004D43AF">
            <w:pPr>
              <w:pStyle w:val="ListParagraph"/>
              <w:ind w:left="0"/>
              <w:jc w:val="right"/>
              <w:rPr>
                <w:rFonts w:cs="Arial"/>
                <w:bCs/>
                <w:sz w:val="20"/>
              </w:rPr>
            </w:pPr>
            <w:r>
              <w:rPr>
                <w:rFonts w:cs="Arial"/>
                <w:color w:val="000000"/>
                <w:sz w:val="20"/>
              </w:rPr>
              <w:t>7,454</w:t>
            </w:r>
          </w:p>
        </w:tc>
        <w:tc>
          <w:tcPr>
            <w:tcW w:w="1050" w:type="dxa"/>
            <w:tcBorders>
              <w:top w:val="nil"/>
              <w:left w:val="nil"/>
              <w:bottom w:val="single" w:sz="8" w:space="0" w:color="auto"/>
              <w:right w:val="single" w:sz="8" w:space="0" w:color="auto"/>
            </w:tcBorders>
            <w:shd w:val="clear" w:color="000000" w:fill="F2F2F2"/>
            <w:vAlign w:val="center"/>
          </w:tcPr>
          <w:p w14:paraId="0566358B" w14:textId="549EE8B2" w:rsidR="004D43AF" w:rsidRPr="00662BC4" w:rsidRDefault="004D43AF" w:rsidP="004D43AF">
            <w:pPr>
              <w:pStyle w:val="ListParagraph"/>
              <w:ind w:left="0"/>
              <w:jc w:val="right"/>
              <w:rPr>
                <w:rFonts w:cs="Arial"/>
                <w:bCs/>
                <w:sz w:val="20"/>
              </w:rPr>
            </w:pPr>
            <w:r>
              <w:rPr>
                <w:rFonts w:cs="Arial"/>
                <w:color w:val="000000"/>
                <w:sz w:val="20"/>
              </w:rPr>
              <w:t>700</w:t>
            </w:r>
          </w:p>
        </w:tc>
      </w:tr>
      <w:tr w:rsidR="004D43AF" w:rsidRPr="00662BC4" w14:paraId="36BFFF3F" w14:textId="77777777" w:rsidTr="003D3723">
        <w:tc>
          <w:tcPr>
            <w:tcW w:w="3527" w:type="dxa"/>
            <w:shd w:val="clear" w:color="auto" w:fill="auto"/>
          </w:tcPr>
          <w:p w14:paraId="5864392B" w14:textId="7F9298E4" w:rsidR="004D43AF" w:rsidRPr="00662BC4" w:rsidRDefault="004D43AF" w:rsidP="004D43AF">
            <w:pPr>
              <w:pStyle w:val="ListParagraph"/>
              <w:ind w:left="0"/>
              <w:jc w:val="both"/>
              <w:rPr>
                <w:rFonts w:cs="Arial"/>
                <w:bCs/>
                <w:sz w:val="20"/>
              </w:rPr>
            </w:pPr>
            <w:r w:rsidRPr="00662BC4">
              <w:rPr>
                <w:sz w:val="20"/>
              </w:rPr>
              <w:t>Housing General Fund</w:t>
            </w:r>
          </w:p>
        </w:tc>
        <w:tc>
          <w:tcPr>
            <w:tcW w:w="905" w:type="dxa"/>
            <w:tcBorders>
              <w:top w:val="nil"/>
              <w:left w:val="nil"/>
              <w:bottom w:val="single" w:sz="8" w:space="0" w:color="auto"/>
              <w:right w:val="single" w:sz="8" w:space="0" w:color="auto"/>
            </w:tcBorders>
            <w:shd w:val="clear" w:color="000000" w:fill="FFFFFF"/>
            <w:vAlign w:val="center"/>
          </w:tcPr>
          <w:p w14:paraId="17F20EED" w14:textId="34516FA9" w:rsidR="004D43AF" w:rsidRPr="00662BC4" w:rsidRDefault="004D43AF" w:rsidP="004D43AF">
            <w:pPr>
              <w:pStyle w:val="ListParagraph"/>
              <w:ind w:left="0"/>
              <w:jc w:val="right"/>
              <w:rPr>
                <w:rFonts w:cs="Arial"/>
                <w:bCs/>
                <w:sz w:val="20"/>
              </w:rPr>
            </w:pPr>
            <w:r>
              <w:rPr>
                <w:rFonts w:cs="Arial"/>
                <w:color w:val="000000"/>
                <w:sz w:val="20"/>
              </w:rPr>
              <w:t>3,477</w:t>
            </w:r>
          </w:p>
        </w:tc>
        <w:tc>
          <w:tcPr>
            <w:tcW w:w="1050" w:type="dxa"/>
            <w:tcBorders>
              <w:top w:val="nil"/>
              <w:left w:val="nil"/>
              <w:bottom w:val="single" w:sz="8" w:space="0" w:color="auto"/>
              <w:right w:val="single" w:sz="8" w:space="0" w:color="auto"/>
            </w:tcBorders>
            <w:shd w:val="clear" w:color="000000" w:fill="FFFFFF"/>
            <w:vAlign w:val="center"/>
          </w:tcPr>
          <w:p w14:paraId="3C334794" w14:textId="24E1A25A" w:rsidR="004D43AF" w:rsidRPr="00662BC4" w:rsidRDefault="004D43AF" w:rsidP="004D43AF">
            <w:pPr>
              <w:pStyle w:val="ListParagraph"/>
              <w:ind w:left="0"/>
              <w:jc w:val="right"/>
              <w:rPr>
                <w:rFonts w:cs="Arial"/>
                <w:bCs/>
                <w:sz w:val="20"/>
              </w:rPr>
            </w:pPr>
            <w:r>
              <w:rPr>
                <w:rFonts w:cs="Arial"/>
                <w:color w:val="000000"/>
                <w:sz w:val="20"/>
              </w:rPr>
              <w:t>5,183</w:t>
            </w:r>
          </w:p>
        </w:tc>
        <w:tc>
          <w:tcPr>
            <w:tcW w:w="1129" w:type="dxa"/>
            <w:tcBorders>
              <w:top w:val="nil"/>
              <w:left w:val="nil"/>
              <w:bottom w:val="single" w:sz="8" w:space="0" w:color="auto"/>
              <w:right w:val="single" w:sz="8" w:space="0" w:color="auto"/>
            </w:tcBorders>
            <w:shd w:val="clear" w:color="000000" w:fill="FFFFFF"/>
            <w:vAlign w:val="center"/>
          </w:tcPr>
          <w:p w14:paraId="164DDC6C" w14:textId="4255DF2B" w:rsidR="004D43AF" w:rsidRPr="00662BC4" w:rsidRDefault="004D43AF" w:rsidP="004D43AF">
            <w:pPr>
              <w:pStyle w:val="ListParagraph"/>
              <w:ind w:left="0"/>
              <w:jc w:val="right"/>
              <w:rPr>
                <w:rFonts w:cs="Arial"/>
                <w:bCs/>
                <w:sz w:val="20"/>
              </w:rPr>
            </w:pPr>
            <w:r>
              <w:rPr>
                <w:rFonts w:cs="Arial"/>
                <w:color w:val="000000"/>
                <w:sz w:val="20"/>
              </w:rPr>
              <w:t>-1,593</w:t>
            </w:r>
          </w:p>
        </w:tc>
        <w:tc>
          <w:tcPr>
            <w:tcW w:w="1212" w:type="dxa"/>
            <w:tcBorders>
              <w:top w:val="nil"/>
              <w:left w:val="nil"/>
              <w:bottom w:val="single" w:sz="8" w:space="0" w:color="auto"/>
              <w:right w:val="single" w:sz="8" w:space="0" w:color="auto"/>
            </w:tcBorders>
            <w:shd w:val="clear" w:color="000000" w:fill="FFFFFF"/>
            <w:vAlign w:val="center"/>
          </w:tcPr>
          <w:p w14:paraId="440DE50A" w14:textId="2A8B53F4" w:rsidR="004D43AF" w:rsidRPr="00662BC4" w:rsidRDefault="004D43AF" w:rsidP="004D43AF">
            <w:pPr>
              <w:pStyle w:val="ListParagraph"/>
              <w:ind w:left="0"/>
              <w:jc w:val="right"/>
              <w:rPr>
                <w:rFonts w:cs="Arial"/>
                <w:bCs/>
                <w:sz w:val="20"/>
              </w:rPr>
            </w:pPr>
            <w:r>
              <w:rPr>
                <w:rFonts w:cs="Arial"/>
                <w:color w:val="000000"/>
                <w:sz w:val="20"/>
              </w:rPr>
              <w:t>-130</w:t>
            </w:r>
          </w:p>
        </w:tc>
        <w:tc>
          <w:tcPr>
            <w:tcW w:w="1050" w:type="dxa"/>
            <w:tcBorders>
              <w:top w:val="nil"/>
              <w:left w:val="nil"/>
              <w:bottom w:val="single" w:sz="8" w:space="0" w:color="auto"/>
              <w:right w:val="single" w:sz="8" w:space="0" w:color="auto"/>
            </w:tcBorders>
            <w:shd w:val="clear" w:color="auto" w:fill="auto"/>
            <w:vAlign w:val="center"/>
          </w:tcPr>
          <w:p w14:paraId="1C097B31" w14:textId="0193F7B5" w:rsidR="004D43AF" w:rsidRPr="00662BC4" w:rsidRDefault="004D43AF" w:rsidP="004D43AF">
            <w:pPr>
              <w:pStyle w:val="ListParagraph"/>
              <w:ind w:left="0"/>
              <w:jc w:val="right"/>
              <w:rPr>
                <w:rFonts w:cs="Arial"/>
                <w:bCs/>
                <w:sz w:val="20"/>
              </w:rPr>
            </w:pPr>
            <w:r>
              <w:rPr>
                <w:rFonts w:cs="Arial"/>
                <w:color w:val="000000"/>
                <w:sz w:val="20"/>
              </w:rPr>
              <w:t>3,460</w:t>
            </w:r>
          </w:p>
        </w:tc>
        <w:tc>
          <w:tcPr>
            <w:tcW w:w="1050" w:type="dxa"/>
            <w:tcBorders>
              <w:top w:val="nil"/>
              <w:left w:val="nil"/>
              <w:bottom w:val="single" w:sz="8" w:space="0" w:color="auto"/>
              <w:right w:val="single" w:sz="8" w:space="0" w:color="auto"/>
            </w:tcBorders>
            <w:shd w:val="clear" w:color="000000" w:fill="F2F2F2"/>
            <w:vAlign w:val="center"/>
          </w:tcPr>
          <w:p w14:paraId="32C7D195" w14:textId="23001AC9" w:rsidR="004D43AF" w:rsidRPr="00662BC4" w:rsidRDefault="004D43AF" w:rsidP="004D43AF">
            <w:pPr>
              <w:pStyle w:val="ListParagraph"/>
              <w:ind w:left="0"/>
              <w:jc w:val="right"/>
              <w:rPr>
                <w:rFonts w:cs="Arial"/>
                <w:bCs/>
                <w:sz w:val="20"/>
              </w:rPr>
            </w:pPr>
            <w:r>
              <w:rPr>
                <w:rFonts w:cs="Arial"/>
                <w:color w:val="000000"/>
                <w:sz w:val="20"/>
              </w:rPr>
              <w:t>-17</w:t>
            </w:r>
          </w:p>
        </w:tc>
      </w:tr>
      <w:tr w:rsidR="004D43AF" w:rsidRPr="00662BC4" w14:paraId="0B2C4514" w14:textId="77777777" w:rsidTr="003D3723">
        <w:tc>
          <w:tcPr>
            <w:tcW w:w="3527" w:type="dxa"/>
            <w:shd w:val="clear" w:color="auto" w:fill="auto"/>
          </w:tcPr>
          <w:p w14:paraId="58B0A668" w14:textId="4C7ADAC2" w:rsidR="004D43AF" w:rsidRPr="00662BC4" w:rsidRDefault="004D43AF" w:rsidP="004D43AF">
            <w:pPr>
              <w:pStyle w:val="ListParagraph"/>
              <w:ind w:left="0"/>
              <w:jc w:val="both"/>
              <w:rPr>
                <w:rFonts w:cs="Arial"/>
                <w:b/>
                <w:bCs/>
                <w:sz w:val="20"/>
              </w:rPr>
            </w:pPr>
            <w:r w:rsidRPr="00662BC4">
              <w:rPr>
                <w:b/>
                <w:bCs/>
                <w:sz w:val="20"/>
              </w:rPr>
              <w:t>Total Budget</w:t>
            </w:r>
          </w:p>
        </w:tc>
        <w:tc>
          <w:tcPr>
            <w:tcW w:w="905" w:type="dxa"/>
            <w:tcBorders>
              <w:top w:val="nil"/>
              <w:left w:val="nil"/>
              <w:bottom w:val="single" w:sz="8" w:space="0" w:color="auto"/>
              <w:right w:val="single" w:sz="8" w:space="0" w:color="auto"/>
            </w:tcBorders>
            <w:shd w:val="clear" w:color="000000" w:fill="FFFFFF"/>
            <w:vAlign w:val="center"/>
          </w:tcPr>
          <w:p w14:paraId="0BECD84C" w14:textId="4AB74B82" w:rsidR="004D43AF" w:rsidRPr="00662BC4" w:rsidRDefault="004D43AF" w:rsidP="004D43AF">
            <w:pPr>
              <w:pStyle w:val="ListParagraph"/>
              <w:ind w:left="0"/>
              <w:jc w:val="right"/>
              <w:rPr>
                <w:rFonts w:cs="Arial"/>
                <w:b/>
                <w:bCs/>
                <w:sz w:val="20"/>
              </w:rPr>
            </w:pPr>
            <w:r>
              <w:rPr>
                <w:rFonts w:cs="Arial"/>
                <w:b/>
                <w:bCs/>
                <w:color w:val="000000"/>
                <w:sz w:val="20"/>
              </w:rPr>
              <w:t>33,960</w:t>
            </w:r>
          </w:p>
        </w:tc>
        <w:tc>
          <w:tcPr>
            <w:tcW w:w="1050" w:type="dxa"/>
            <w:tcBorders>
              <w:top w:val="nil"/>
              <w:left w:val="nil"/>
              <w:bottom w:val="single" w:sz="8" w:space="0" w:color="auto"/>
              <w:right w:val="single" w:sz="8" w:space="0" w:color="auto"/>
            </w:tcBorders>
            <w:shd w:val="clear" w:color="000000" w:fill="FFFFFF"/>
            <w:vAlign w:val="center"/>
          </w:tcPr>
          <w:p w14:paraId="1832A065" w14:textId="355BAED6" w:rsidR="004D43AF" w:rsidRPr="00662BC4" w:rsidRDefault="004D43AF" w:rsidP="004D43AF">
            <w:pPr>
              <w:pStyle w:val="ListParagraph"/>
              <w:ind w:left="0"/>
              <w:jc w:val="right"/>
              <w:rPr>
                <w:rFonts w:cs="Arial"/>
                <w:b/>
                <w:bCs/>
                <w:sz w:val="20"/>
              </w:rPr>
            </w:pPr>
            <w:r>
              <w:rPr>
                <w:rFonts w:cs="Arial"/>
                <w:b/>
                <w:bCs/>
                <w:color w:val="000000"/>
                <w:sz w:val="20"/>
              </w:rPr>
              <w:t>39,773</w:t>
            </w:r>
          </w:p>
        </w:tc>
        <w:tc>
          <w:tcPr>
            <w:tcW w:w="1129" w:type="dxa"/>
            <w:tcBorders>
              <w:top w:val="nil"/>
              <w:left w:val="nil"/>
              <w:bottom w:val="single" w:sz="8" w:space="0" w:color="auto"/>
              <w:right w:val="single" w:sz="8" w:space="0" w:color="auto"/>
            </w:tcBorders>
            <w:shd w:val="clear" w:color="000000" w:fill="FFFFFF"/>
            <w:vAlign w:val="center"/>
          </w:tcPr>
          <w:p w14:paraId="694012CA" w14:textId="0CED559D" w:rsidR="004D43AF" w:rsidRPr="00662BC4" w:rsidRDefault="004D43AF" w:rsidP="004D43AF">
            <w:pPr>
              <w:pStyle w:val="ListParagraph"/>
              <w:ind w:left="0"/>
              <w:jc w:val="right"/>
              <w:rPr>
                <w:rFonts w:cs="Arial"/>
                <w:b/>
                <w:bCs/>
                <w:sz w:val="20"/>
              </w:rPr>
            </w:pPr>
            <w:r>
              <w:rPr>
                <w:rFonts w:cs="Arial"/>
                <w:b/>
                <w:bCs/>
                <w:color w:val="000000"/>
                <w:sz w:val="20"/>
              </w:rPr>
              <w:t>-2,879</w:t>
            </w:r>
          </w:p>
        </w:tc>
        <w:tc>
          <w:tcPr>
            <w:tcW w:w="1212" w:type="dxa"/>
            <w:tcBorders>
              <w:top w:val="nil"/>
              <w:left w:val="nil"/>
              <w:bottom w:val="single" w:sz="8" w:space="0" w:color="auto"/>
              <w:right w:val="single" w:sz="8" w:space="0" w:color="auto"/>
            </w:tcBorders>
            <w:shd w:val="clear" w:color="000000" w:fill="FFFFFF"/>
            <w:vAlign w:val="center"/>
          </w:tcPr>
          <w:p w14:paraId="5A1DAFE4" w14:textId="212C4032" w:rsidR="004D43AF" w:rsidRPr="00662BC4" w:rsidRDefault="004D43AF" w:rsidP="004D43AF">
            <w:pPr>
              <w:pStyle w:val="ListParagraph"/>
              <w:ind w:left="0"/>
              <w:jc w:val="right"/>
              <w:rPr>
                <w:rFonts w:cs="Arial"/>
                <w:b/>
                <w:bCs/>
                <w:sz w:val="20"/>
              </w:rPr>
            </w:pPr>
            <w:r>
              <w:rPr>
                <w:rFonts w:cs="Arial"/>
                <w:b/>
                <w:bCs/>
                <w:color w:val="000000"/>
                <w:sz w:val="20"/>
              </w:rPr>
              <w:t>-130</w:t>
            </w:r>
          </w:p>
        </w:tc>
        <w:tc>
          <w:tcPr>
            <w:tcW w:w="1050" w:type="dxa"/>
            <w:tcBorders>
              <w:top w:val="nil"/>
              <w:left w:val="nil"/>
              <w:bottom w:val="single" w:sz="8" w:space="0" w:color="auto"/>
              <w:right w:val="single" w:sz="8" w:space="0" w:color="auto"/>
            </w:tcBorders>
            <w:shd w:val="clear" w:color="000000" w:fill="FFFFFF"/>
            <w:vAlign w:val="center"/>
          </w:tcPr>
          <w:p w14:paraId="320F4FE6" w14:textId="694C2067" w:rsidR="004D43AF" w:rsidRPr="00662BC4" w:rsidRDefault="004D43AF" w:rsidP="004D43AF">
            <w:pPr>
              <w:pStyle w:val="ListParagraph"/>
              <w:ind w:left="0"/>
              <w:jc w:val="right"/>
              <w:rPr>
                <w:rFonts w:cs="Arial"/>
                <w:b/>
                <w:bCs/>
                <w:sz w:val="20"/>
              </w:rPr>
            </w:pPr>
            <w:r>
              <w:rPr>
                <w:rFonts w:cs="Arial"/>
                <w:b/>
                <w:bCs/>
                <w:color w:val="000000"/>
                <w:sz w:val="20"/>
              </w:rPr>
              <w:t>36,764</w:t>
            </w:r>
          </w:p>
        </w:tc>
        <w:tc>
          <w:tcPr>
            <w:tcW w:w="1050" w:type="dxa"/>
            <w:tcBorders>
              <w:top w:val="nil"/>
              <w:left w:val="nil"/>
              <w:bottom w:val="single" w:sz="8" w:space="0" w:color="auto"/>
              <w:right w:val="single" w:sz="8" w:space="0" w:color="auto"/>
            </w:tcBorders>
            <w:shd w:val="clear" w:color="000000" w:fill="FFFFFF"/>
            <w:vAlign w:val="center"/>
          </w:tcPr>
          <w:p w14:paraId="1078F3C3" w14:textId="6889CFC8" w:rsidR="004D43AF" w:rsidRPr="00662BC4" w:rsidRDefault="004D43AF" w:rsidP="004D43AF">
            <w:pPr>
              <w:pStyle w:val="ListParagraph"/>
              <w:ind w:left="0"/>
              <w:jc w:val="right"/>
              <w:rPr>
                <w:rFonts w:cs="Arial"/>
                <w:b/>
                <w:bCs/>
                <w:sz w:val="20"/>
              </w:rPr>
            </w:pPr>
            <w:r>
              <w:rPr>
                <w:rFonts w:cs="Arial"/>
                <w:b/>
                <w:bCs/>
                <w:color w:val="000000"/>
                <w:sz w:val="20"/>
              </w:rPr>
              <w:t>2,804</w:t>
            </w:r>
          </w:p>
        </w:tc>
      </w:tr>
    </w:tbl>
    <w:p w14:paraId="57EBBDA9" w14:textId="67DC6D40" w:rsidR="00F5674D" w:rsidRPr="00662BC4" w:rsidRDefault="00F5674D" w:rsidP="00F5674D">
      <w:pPr>
        <w:pStyle w:val="ListParagraph"/>
        <w:ind w:left="567"/>
        <w:jc w:val="both"/>
        <w:rPr>
          <w:rFonts w:cs="Arial"/>
          <w:bCs/>
        </w:rPr>
      </w:pPr>
    </w:p>
    <w:p w14:paraId="53990E9B" w14:textId="0736212E" w:rsidR="00B83B56" w:rsidRPr="00662BC4" w:rsidRDefault="00B83B56" w:rsidP="00B83B56">
      <w:pPr>
        <w:pStyle w:val="ListParagraph"/>
        <w:numPr>
          <w:ilvl w:val="0"/>
          <w:numId w:val="4"/>
        </w:numPr>
        <w:ind w:left="567" w:hanging="567"/>
        <w:jc w:val="both"/>
        <w:rPr>
          <w:rFonts w:cs="Arial"/>
          <w:bCs/>
        </w:rPr>
      </w:pPr>
      <w:r w:rsidRPr="00662BC4">
        <w:rPr>
          <w:rFonts w:cs="Arial"/>
          <w:bCs/>
        </w:rPr>
        <w:t xml:space="preserve">As at Q1 the directorate is reporting a net overspend of </w:t>
      </w:r>
      <w:r w:rsidR="00662BC4" w:rsidRPr="00662BC4">
        <w:rPr>
          <w:rFonts w:cs="Arial"/>
          <w:bCs/>
        </w:rPr>
        <w:t>£2.</w:t>
      </w:r>
      <w:r w:rsidR="004D43AF">
        <w:rPr>
          <w:rFonts w:cs="Arial"/>
          <w:bCs/>
        </w:rPr>
        <w:t>8</w:t>
      </w:r>
      <w:r w:rsidR="00662BC4" w:rsidRPr="00662BC4">
        <w:rPr>
          <w:rFonts w:cs="Arial"/>
          <w:bCs/>
        </w:rPr>
        <w:t>04m</w:t>
      </w:r>
      <w:r w:rsidRPr="00662BC4">
        <w:rPr>
          <w:rFonts w:cs="Arial"/>
          <w:bCs/>
        </w:rPr>
        <w:t xml:space="preserve"> after contributions to and draw down from reserves and cross-divisional adjustments.</w:t>
      </w:r>
    </w:p>
    <w:p w14:paraId="31D22C52" w14:textId="77777777" w:rsidR="00B83B56" w:rsidRPr="00541017" w:rsidRDefault="00B83B56" w:rsidP="00B83B56">
      <w:pPr>
        <w:pStyle w:val="ListParagraph"/>
        <w:ind w:left="567"/>
        <w:jc w:val="both"/>
        <w:rPr>
          <w:rFonts w:cs="Arial"/>
          <w:bCs/>
          <w:color w:val="FF0000"/>
        </w:rPr>
      </w:pPr>
    </w:p>
    <w:p w14:paraId="1EF282F4" w14:textId="5BAB3356" w:rsidR="00B83B56" w:rsidRPr="00FB3C6E" w:rsidRDefault="00B83B56" w:rsidP="00B83B56">
      <w:pPr>
        <w:pStyle w:val="ListParagraph"/>
        <w:numPr>
          <w:ilvl w:val="0"/>
          <w:numId w:val="4"/>
        </w:numPr>
        <w:ind w:left="567" w:hanging="567"/>
        <w:jc w:val="both"/>
        <w:rPr>
          <w:rFonts w:cs="Arial"/>
          <w:bCs/>
        </w:rPr>
      </w:pPr>
      <w:r w:rsidRPr="00FB3C6E">
        <w:rPr>
          <w:rFonts w:cs="Arial"/>
          <w:bCs/>
        </w:rPr>
        <w:t xml:space="preserve">The reserve movements are shown in Table </w:t>
      </w:r>
      <w:r w:rsidR="00662BC4" w:rsidRPr="00FB3C6E">
        <w:rPr>
          <w:rFonts w:cs="Arial"/>
          <w:bCs/>
        </w:rPr>
        <w:t>7</w:t>
      </w:r>
      <w:r w:rsidRPr="00FB3C6E">
        <w:rPr>
          <w:rFonts w:cs="Arial"/>
          <w:bCs/>
        </w:rPr>
        <w:t xml:space="preserve"> </w:t>
      </w:r>
    </w:p>
    <w:p w14:paraId="58969EC9" w14:textId="77777777" w:rsidR="00B83B56" w:rsidRPr="00FB3C6E" w:rsidRDefault="00B83B56" w:rsidP="00B83B56">
      <w:pPr>
        <w:pStyle w:val="ListParagraph"/>
        <w:rPr>
          <w:rFonts w:cs="Arial"/>
          <w:bCs/>
        </w:rPr>
      </w:pPr>
    </w:p>
    <w:p w14:paraId="25565E30" w14:textId="65FBE015" w:rsidR="00B83B56" w:rsidRPr="00FB3C6E" w:rsidRDefault="00B83B56" w:rsidP="00B83B56">
      <w:pPr>
        <w:jc w:val="both"/>
        <w:rPr>
          <w:rFonts w:cs="Arial"/>
          <w:b/>
          <w:bCs/>
          <w:szCs w:val="24"/>
          <w:u w:val="single"/>
        </w:rPr>
      </w:pPr>
      <w:r w:rsidRPr="00FB3C6E">
        <w:rPr>
          <w:rFonts w:cs="Arial"/>
          <w:b/>
          <w:bCs/>
          <w:szCs w:val="24"/>
          <w:u w:val="single"/>
        </w:rPr>
        <w:t xml:space="preserve">Table </w:t>
      </w:r>
      <w:r w:rsidR="00662BC4" w:rsidRPr="00FB3C6E">
        <w:rPr>
          <w:rFonts w:cs="Arial"/>
          <w:b/>
          <w:bCs/>
          <w:szCs w:val="24"/>
          <w:u w:val="single"/>
        </w:rPr>
        <w:t>7</w:t>
      </w:r>
      <w:r w:rsidRPr="00FB3C6E">
        <w:rPr>
          <w:rFonts w:cs="Arial"/>
          <w:b/>
          <w:bCs/>
          <w:szCs w:val="24"/>
          <w:u w:val="single"/>
        </w:rPr>
        <w:t xml:space="preserve">: Place Reserve Movements </w:t>
      </w:r>
      <w:r w:rsidR="00662BC4" w:rsidRPr="00FB3C6E">
        <w:rPr>
          <w:rFonts w:cs="Arial"/>
          <w:b/>
          <w:bCs/>
          <w:szCs w:val="24"/>
          <w:u w:val="single"/>
        </w:rPr>
        <w:t>2023-24</w:t>
      </w:r>
    </w:p>
    <w:p w14:paraId="7D6810C1" w14:textId="77777777" w:rsidR="00B83B56" w:rsidRPr="00FB3C6E" w:rsidRDefault="00B83B56" w:rsidP="00B83B56">
      <w:pPr>
        <w:jc w:val="both"/>
        <w:rPr>
          <w:rFonts w:cs="Arial"/>
          <w:b/>
          <w:bCs/>
          <w:szCs w:val="24"/>
          <w:u w:val="single"/>
        </w:rPr>
      </w:pPr>
    </w:p>
    <w:tbl>
      <w:tblPr>
        <w:tblStyle w:val="TableGrid"/>
        <w:tblW w:w="0" w:type="auto"/>
        <w:tblLook w:val="04A0" w:firstRow="1" w:lastRow="0" w:firstColumn="1" w:lastColumn="0" w:noHBand="0" w:noVBand="1"/>
      </w:tblPr>
      <w:tblGrid>
        <w:gridCol w:w="6788"/>
        <w:gridCol w:w="2231"/>
      </w:tblGrid>
      <w:tr w:rsidR="00FB3C6E" w:rsidRPr="00FB3C6E" w14:paraId="09DAB1FD" w14:textId="77777777" w:rsidTr="00662BC4">
        <w:tc>
          <w:tcPr>
            <w:tcW w:w="6788" w:type="dxa"/>
          </w:tcPr>
          <w:p w14:paraId="1C57BA98" w14:textId="77777777" w:rsidR="00B83B56" w:rsidRPr="00FB3C6E" w:rsidRDefault="00B83B56" w:rsidP="00DC6F9D">
            <w:pPr>
              <w:jc w:val="both"/>
              <w:rPr>
                <w:rFonts w:cs="Arial"/>
                <w:b/>
                <w:bCs/>
                <w:sz w:val="20"/>
              </w:rPr>
            </w:pPr>
            <w:r w:rsidRPr="00FB3C6E">
              <w:rPr>
                <w:b/>
                <w:bCs/>
                <w:sz w:val="20"/>
              </w:rPr>
              <w:t xml:space="preserve">Description </w:t>
            </w:r>
          </w:p>
        </w:tc>
        <w:tc>
          <w:tcPr>
            <w:tcW w:w="2231" w:type="dxa"/>
          </w:tcPr>
          <w:p w14:paraId="6C9E2412" w14:textId="77777777" w:rsidR="00B83B56" w:rsidRPr="00FB3C6E" w:rsidRDefault="00B83B56" w:rsidP="00DC6F9D">
            <w:pPr>
              <w:jc w:val="both"/>
              <w:rPr>
                <w:rFonts w:cs="Arial"/>
                <w:bCs/>
                <w:sz w:val="20"/>
              </w:rPr>
            </w:pPr>
            <w:r w:rsidRPr="00FB3C6E">
              <w:rPr>
                <w:b/>
                <w:bCs/>
                <w:sz w:val="20"/>
              </w:rPr>
              <w:t>Movement £’000</w:t>
            </w:r>
          </w:p>
        </w:tc>
      </w:tr>
      <w:tr w:rsidR="00FB3C6E" w:rsidRPr="00FB3C6E" w14:paraId="744B98EC" w14:textId="77777777" w:rsidTr="00662BC4">
        <w:tc>
          <w:tcPr>
            <w:tcW w:w="6788" w:type="dxa"/>
          </w:tcPr>
          <w:p w14:paraId="25EAFCAC" w14:textId="5243BB21" w:rsidR="00B83B56" w:rsidRPr="00FB3C6E" w:rsidRDefault="00662BC4" w:rsidP="00DC6F9D">
            <w:pPr>
              <w:jc w:val="both"/>
              <w:rPr>
                <w:rFonts w:cs="Arial"/>
                <w:bCs/>
                <w:sz w:val="20"/>
              </w:rPr>
            </w:pPr>
            <w:r w:rsidRPr="00FB3C6E">
              <w:rPr>
                <w:rFonts w:cs="Arial"/>
                <w:bCs/>
                <w:sz w:val="20"/>
              </w:rPr>
              <w:t>Capacity Building Reserve</w:t>
            </w:r>
          </w:p>
        </w:tc>
        <w:tc>
          <w:tcPr>
            <w:tcW w:w="2231" w:type="dxa"/>
          </w:tcPr>
          <w:p w14:paraId="42EC0A15" w14:textId="2A8771AB" w:rsidR="00B83B56" w:rsidRPr="00FB3C6E" w:rsidRDefault="00662BC4" w:rsidP="00DC6F9D">
            <w:pPr>
              <w:jc w:val="right"/>
              <w:rPr>
                <w:rFonts w:cs="Arial"/>
                <w:bCs/>
                <w:sz w:val="20"/>
              </w:rPr>
            </w:pPr>
            <w:r w:rsidRPr="00FB3C6E">
              <w:rPr>
                <w:rFonts w:cs="Arial"/>
                <w:bCs/>
                <w:sz w:val="20"/>
              </w:rPr>
              <w:t>-105</w:t>
            </w:r>
          </w:p>
        </w:tc>
      </w:tr>
      <w:tr w:rsidR="00FB3C6E" w:rsidRPr="00FB3C6E" w14:paraId="6FB96BD3" w14:textId="77777777" w:rsidTr="00662BC4">
        <w:tc>
          <w:tcPr>
            <w:tcW w:w="6788" w:type="dxa"/>
          </w:tcPr>
          <w:p w14:paraId="13369903" w14:textId="23A3B7BB" w:rsidR="00B83B56" w:rsidRPr="00FB3C6E" w:rsidRDefault="00662BC4" w:rsidP="00DC6F9D">
            <w:pPr>
              <w:jc w:val="both"/>
              <w:rPr>
                <w:rFonts w:cs="Arial"/>
                <w:bCs/>
                <w:sz w:val="20"/>
              </w:rPr>
            </w:pPr>
            <w:r w:rsidRPr="00FB3C6E">
              <w:rPr>
                <w:rFonts w:cs="Arial"/>
                <w:bCs/>
                <w:sz w:val="20"/>
              </w:rPr>
              <w:t>Business Risk Reserve</w:t>
            </w:r>
          </w:p>
        </w:tc>
        <w:tc>
          <w:tcPr>
            <w:tcW w:w="2231" w:type="dxa"/>
          </w:tcPr>
          <w:p w14:paraId="3098C48F" w14:textId="4825CD15" w:rsidR="00B83B56" w:rsidRPr="00FB3C6E" w:rsidRDefault="00FB3C6E" w:rsidP="00DC6F9D">
            <w:pPr>
              <w:jc w:val="right"/>
              <w:rPr>
                <w:rFonts w:cs="Arial"/>
                <w:bCs/>
                <w:sz w:val="20"/>
              </w:rPr>
            </w:pPr>
            <w:r w:rsidRPr="00FB3C6E">
              <w:rPr>
                <w:rFonts w:cs="Arial"/>
                <w:bCs/>
                <w:sz w:val="20"/>
              </w:rPr>
              <w:t>-81</w:t>
            </w:r>
          </w:p>
        </w:tc>
      </w:tr>
      <w:tr w:rsidR="00FB3C6E" w:rsidRPr="00FB3C6E" w14:paraId="2E849B3A" w14:textId="77777777" w:rsidTr="00662BC4">
        <w:tc>
          <w:tcPr>
            <w:tcW w:w="6788" w:type="dxa"/>
          </w:tcPr>
          <w:p w14:paraId="376A819A" w14:textId="57DDC8D9" w:rsidR="00B83B56" w:rsidRPr="00FB3C6E" w:rsidRDefault="00662BC4" w:rsidP="00DC6F9D">
            <w:pPr>
              <w:jc w:val="both"/>
              <w:rPr>
                <w:rFonts w:cs="Arial"/>
                <w:bCs/>
                <w:sz w:val="20"/>
              </w:rPr>
            </w:pPr>
            <w:r w:rsidRPr="00FB3C6E">
              <w:rPr>
                <w:rFonts w:cs="Arial"/>
                <w:bCs/>
                <w:sz w:val="20"/>
              </w:rPr>
              <w:t>Place MTFS Implementation Reserve</w:t>
            </w:r>
          </w:p>
        </w:tc>
        <w:tc>
          <w:tcPr>
            <w:tcW w:w="2231" w:type="dxa"/>
          </w:tcPr>
          <w:p w14:paraId="0BFAC5D8" w14:textId="74FDD926" w:rsidR="00B83B56" w:rsidRPr="00FB3C6E" w:rsidRDefault="00FB3C6E" w:rsidP="00DC6F9D">
            <w:pPr>
              <w:jc w:val="right"/>
              <w:rPr>
                <w:rFonts w:cs="Arial"/>
                <w:bCs/>
                <w:sz w:val="20"/>
              </w:rPr>
            </w:pPr>
            <w:r w:rsidRPr="00FB3C6E">
              <w:rPr>
                <w:rFonts w:cs="Arial"/>
                <w:bCs/>
                <w:sz w:val="20"/>
              </w:rPr>
              <w:t>-445</w:t>
            </w:r>
          </w:p>
        </w:tc>
      </w:tr>
      <w:tr w:rsidR="00FB3C6E" w:rsidRPr="00FB3C6E" w14:paraId="2FD33571" w14:textId="77777777" w:rsidTr="00662BC4">
        <w:tc>
          <w:tcPr>
            <w:tcW w:w="6788" w:type="dxa"/>
          </w:tcPr>
          <w:p w14:paraId="3043DCE8" w14:textId="412B395D" w:rsidR="00B83B56" w:rsidRPr="00FB3C6E" w:rsidRDefault="00662BC4" w:rsidP="00DC6F9D">
            <w:pPr>
              <w:jc w:val="both"/>
              <w:rPr>
                <w:rFonts w:cs="Arial"/>
                <w:bCs/>
                <w:sz w:val="20"/>
              </w:rPr>
            </w:pPr>
            <w:r w:rsidRPr="00FB3C6E">
              <w:rPr>
                <w:rFonts w:cs="Arial"/>
                <w:bCs/>
                <w:sz w:val="20"/>
              </w:rPr>
              <w:t>Revenue Grant Reserve</w:t>
            </w:r>
          </w:p>
        </w:tc>
        <w:tc>
          <w:tcPr>
            <w:tcW w:w="2231" w:type="dxa"/>
          </w:tcPr>
          <w:p w14:paraId="367E8C25" w14:textId="0A873223" w:rsidR="00B83B56" w:rsidRPr="00FB3C6E" w:rsidRDefault="00FB3C6E" w:rsidP="00DC6F9D">
            <w:pPr>
              <w:jc w:val="right"/>
              <w:rPr>
                <w:rFonts w:cs="Arial"/>
                <w:bCs/>
                <w:sz w:val="20"/>
              </w:rPr>
            </w:pPr>
            <w:r w:rsidRPr="00FB3C6E">
              <w:rPr>
                <w:rFonts w:cs="Arial"/>
                <w:bCs/>
                <w:sz w:val="20"/>
              </w:rPr>
              <w:t>-1,593</w:t>
            </w:r>
          </w:p>
        </w:tc>
      </w:tr>
      <w:tr w:rsidR="00FB3C6E" w:rsidRPr="00FB3C6E" w14:paraId="758C41F7" w14:textId="77777777" w:rsidTr="00662BC4">
        <w:tc>
          <w:tcPr>
            <w:tcW w:w="6788" w:type="dxa"/>
          </w:tcPr>
          <w:p w14:paraId="54B60D43" w14:textId="196F1F53" w:rsidR="00B83B56" w:rsidRPr="00FB3C6E" w:rsidRDefault="00662BC4" w:rsidP="00DC6F9D">
            <w:pPr>
              <w:jc w:val="both"/>
              <w:rPr>
                <w:rFonts w:cs="Arial"/>
                <w:bCs/>
                <w:sz w:val="20"/>
              </w:rPr>
            </w:pPr>
            <w:r w:rsidRPr="00FB3C6E">
              <w:rPr>
                <w:rFonts w:cs="Arial"/>
                <w:bCs/>
                <w:sz w:val="20"/>
              </w:rPr>
              <w:t>3G Pitch Strategy Reserve</w:t>
            </w:r>
          </w:p>
        </w:tc>
        <w:tc>
          <w:tcPr>
            <w:tcW w:w="2231" w:type="dxa"/>
          </w:tcPr>
          <w:p w14:paraId="67279BAE" w14:textId="7BD79E01" w:rsidR="00B83B56" w:rsidRPr="00FB3C6E" w:rsidRDefault="00FB3C6E" w:rsidP="00DC6F9D">
            <w:pPr>
              <w:jc w:val="right"/>
              <w:rPr>
                <w:rFonts w:cs="Arial"/>
                <w:bCs/>
                <w:sz w:val="20"/>
              </w:rPr>
            </w:pPr>
            <w:r w:rsidRPr="00FB3C6E">
              <w:rPr>
                <w:rFonts w:cs="Arial"/>
                <w:bCs/>
                <w:sz w:val="20"/>
              </w:rPr>
              <w:t>25</w:t>
            </w:r>
          </w:p>
        </w:tc>
      </w:tr>
      <w:tr w:rsidR="00FB3C6E" w:rsidRPr="00FB3C6E" w14:paraId="501B2FBE" w14:textId="77777777" w:rsidTr="00662BC4">
        <w:tc>
          <w:tcPr>
            <w:tcW w:w="6788" w:type="dxa"/>
          </w:tcPr>
          <w:p w14:paraId="20CBA62E" w14:textId="3EA0DC83" w:rsidR="00B83B56" w:rsidRPr="00FB3C6E" w:rsidRDefault="00662BC4" w:rsidP="00DC6F9D">
            <w:pPr>
              <w:jc w:val="both"/>
              <w:rPr>
                <w:rFonts w:cs="Arial"/>
                <w:bCs/>
                <w:sz w:val="20"/>
              </w:rPr>
            </w:pPr>
            <w:r w:rsidRPr="00FB3C6E">
              <w:rPr>
                <w:rFonts w:cs="Arial"/>
                <w:bCs/>
                <w:sz w:val="20"/>
              </w:rPr>
              <w:t>Decommissioning Accommodation Reserve</w:t>
            </w:r>
          </w:p>
        </w:tc>
        <w:tc>
          <w:tcPr>
            <w:tcW w:w="2231" w:type="dxa"/>
          </w:tcPr>
          <w:p w14:paraId="3FB2F985" w14:textId="46E0346F" w:rsidR="00B83B56" w:rsidRPr="00FB3C6E" w:rsidRDefault="00FB3C6E" w:rsidP="00DC6F9D">
            <w:pPr>
              <w:jc w:val="right"/>
              <w:rPr>
                <w:rFonts w:cs="Arial"/>
                <w:bCs/>
                <w:sz w:val="20"/>
              </w:rPr>
            </w:pPr>
            <w:r w:rsidRPr="00FB3C6E">
              <w:rPr>
                <w:rFonts w:cs="Arial"/>
                <w:bCs/>
                <w:sz w:val="20"/>
              </w:rPr>
              <w:t>-500</w:t>
            </w:r>
          </w:p>
        </w:tc>
      </w:tr>
      <w:tr w:rsidR="004D43AF" w:rsidRPr="00FB3C6E" w14:paraId="460AF041" w14:textId="77777777" w:rsidTr="00662BC4">
        <w:tc>
          <w:tcPr>
            <w:tcW w:w="6788" w:type="dxa"/>
          </w:tcPr>
          <w:p w14:paraId="0D102FE7" w14:textId="5D8AEC69" w:rsidR="004D43AF" w:rsidRPr="00FB3C6E" w:rsidRDefault="004D43AF" w:rsidP="00DC6F9D">
            <w:pPr>
              <w:jc w:val="both"/>
              <w:rPr>
                <w:rFonts w:cs="Arial"/>
                <w:bCs/>
                <w:sz w:val="20"/>
              </w:rPr>
            </w:pPr>
            <w:r>
              <w:rPr>
                <w:rFonts w:cs="Arial"/>
                <w:bCs/>
                <w:sz w:val="20"/>
              </w:rPr>
              <w:t>Budget Planning Reserve</w:t>
            </w:r>
          </w:p>
        </w:tc>
        <w:tc>
          <w:tcPr>
            <w:tcW w:w="2231" w:type="dxa"/>
          </w:tcPr>
          <w:p w14:paraId="410A5FD3" w14:textId="67A7CDD1" w:rsidR="004D43AF" w:rsidRPr="00FB3C6E" w:rsidRDefault="004D43AF" w:rsidP="00DC6F9D">
            <w:pPr>
              <w:jc w:val="right"/>
              <w:rPr>
                <w:rFonts w:cs="Arial"/>
                <w:bCs/>
                <w:sz w:val="20"/>
              </w:rPr>
            </w:pPr>
            <w:r>
              <w:rPr>
                <w:rFonts w:cs="Arial"/>
                <w:bCs/>
                <w:sz w:val="20"/>
              </w:rPr>
              <w:t>-180</w:t>
            </w:r>
          </w:p>
        </w:tc>
      </w:tr>
      <w:tr w:rsidR="00FB3C6E" w:rsidRPr="00FB3C6E" w14:paraId="4BC2F81C" w14:textId="77777777" w:rsidTr="00662BC4">
        <w:tc>
          <w:tcPr>
            <w:tcW w:w="6788" w:type="dxa"/>
          </w:tcPr>
          <w:p w14:paraId="5415A073" w14:textId="77777777" w:rsidR="00B83B56" w:rsidRPr="00FB3C6E" w:rsidRDefault="00B83B56" w:rsidP="00DC6F9D">
            <w:pPr>
              <w:jc w:val="both"/>
              <w:rPr>
                <w:rFonts w:cs="Arial"/>
                <w:b/>
                <w:bCs/>
                <w:sz w:val="20"/>
              </w:rPr>
            </w:pPr>
            <w:r w:rsidRPr="00FB3C6E">
              <w:rPr>
                <w:b/>
                <w:bCs/>
                <w:sz w:val="20"/>
              </w:rPr>
              <w:t>Place net contribution</w:t>
            </w:r>
          </w:p>
        </w:tc>
        <w:tc>
          <w:tcPr>
            <w:tcW w:w="2231" w:type="dxa"/>
          </w:tcPr>
          <w:p w14:paraId="5CB94CC5" w14:textId="260417BF" w:rsidR="00B83B56" w:rsidRPr="00FB3C6E" w:rsidRDefault="00662BC4" w:rsidP="00DC6F9D">
            <w:pPr>
              <w:jc w:val="right"/>
              <w:rPr>
                <w:rFonts w:cs="Arial"/>
                <w:b/>
                <w:bCs/>
                <w:sz w:val="20"/>
              </w:rPr>
            </w:pPr>
            <w:r w:rsidRPr="00FB3C6E">
              <w:rPr>
                <w:rFonts w:cs="Arial"/>
                <w:b/>
                <w:bCs/>
                <w:sz w:val="20"/>
              </w:rPr>
              <w:t>-2,</w:t>
            </w:r>
            <w:r w:rsidR="004D43AF">
              <w:rPr>
                <w:rFonts w:cs="Arial"/>
                <w:b/>
                <w:bCs/>
                <w:sz w:val="20"/>
              </w:rPr>
              <w:t>879</w:t>
            </w:r>
          </w:p>
        </w:tc>
      </w:tr>
    </w:tbl>
    <w:p w14:paraId="11B51C26" w14:textId="77777777" w:rsidR="00B83B56" w:rsidRPr="00000A4C" w:rsidRDefault="00B83B56" w:rsidP="00B83B56">
      <w:pPr>
        <w:jc w:val="both"/>
        <w:rPr>
          <w:rFonts w:cs="Arial"/>
          <w:bCs/>
        </w:rPr>
      </w:pPr>
    </w:p>
    <w:p w14:paraId="04728480" w14:textId="2E1E35A6" w:rsidR="00960DF8" w:rsidRPr="003B70CC" w:rsidRDefault="00D207F0" w:rsidP="00AF06B3">
      <w:pPr>
        <w:pStyle w:val="ListParagraph"/>
        <w:numPr>
          <w:ilvl w:val="0"/>
          <w:numId w:val="4"/>
        </w:numPr>
        <w:ind w:left="567" w:hanging="567"/>
        <w:jc w:val="both"/>
        <w:rPr>
          <w:rFonts w:cs="Arial"/>
          <w:bCs/>
        </w:rPr>
      </w:pPr>
      <w:r w:rsidRPr="00000A4C">
        <w:rPr>
          <w:rFonts w:cs="Arial"/>
          <w:b/>
          <w:szCs w:val="24"/>
        </w:rPr>
        <w:lastRenderedPageBreak/>
        <w:t xml:space="preserve">Directorate Management </w:t>
      </w:r>
      <w:r w:rsidRPr="00000A4C">
        <w:rPr>
          <w:rFonts w:cs="Arial"/>
          <w:bCs/>
          <w:szCs w:val="24"/>
        </w:rPr>
        <w:t>– £</w:t>
      </w:r>
      <w:r w:rsidR="00000A4C" w:rsidRPr="00000A4C">
        <w:rPr>
          <w:rFonts w:cs="Arial"/>
          <w:bCs/>
          <w:szCs w:val="24"/>
        </w:rPr>
        <w:t>125</w:t>
      </w:r>
      <w:r w:rsidRPr="00000A4C">
        <w:rPr>
          <w:rFonts w:cs="Arial"/>
          <w:bCs/>
          <w:szCs w:val="24"/>
        </w:rPr>
        <w:t>k net overspend</w:t>
      </w:r>
      <w:r w:rsidR="00000A4C" w:rsidRPr="00000A4C">
        <w:rPr>
          <w:rFonts w:cs="Arial"/>
          <w:bCs/>
          <w:szCs w:val="24"/>
        </w:rPr>
        <w:t xml:space="preserve"> due to the result of a delay in finalising and implementing the new directorate-wide restructure, meaning the £125k MTFS savings target profiled for 2023-24 is unlikely to be met. This pressure will be offset via savings made from vacant posts held elsewhere in the directorate.</w:t>
      </w:r>
    </w:p>
    <w:p w14:paraId="5D479713" w14:textId="77777777" w:rsidR="005576B4" w:rsidRPr="003B70CC" w:rsidRDefault="005576B4" w:rsidP="005576B4">
      <w:pPr>
        <w:pStyle w:val="ListParagraph"/>
        <w:ind w:left="567"/>
        <w:jc w:val="both"/>
        <w:rPr>
          <w:rFonts w:cs="Arial"/>
          <w:bCs/>
        </w:rPr>
      </w:pPr>
    </w:p>
    <w:p w14:paraId="742FC454" w14:textId="695D2B63" w:rsidR="005576B4" w:rsidRPr="003B70CC" w:rsidRDefault="005576B4" w:rsidP="00AF06B3">
      <w:pPr>
        <w:pStyle w:val="ListParagraph"/>
        <w:numPr>
          <w:ilvl w:val="0"/>
          <w:numId w:val="4"/>
        </w:numPr>
        <w:ind w:left="567" w:hanging="567"/>
        <w:jc w:val="both"/>
        <w:rPr>
          <w:rFonts w:cs="Arial"/>
          <w:bCs/>
        </w:rPr>
      </w:pPr>
      <w:r w:rsidRPr="003B70CC">
        <w:rPr>
          <w:rFonts w:cs="Arial"/>
          <w:b/>
          <w:szCs w:val="24"/>
        </w:rPr>
        <w:t>Environment</w:t>
      </w:r>
      <w:r w:rsidRPr="003B70CC">
        <w:rPr>
          <w:rFonts w:cs="Arial"/>
          <w:bCs/>
          <w:szCs w:val="24"/>
        </w:rPr>
        <w:t xml:space="preserve"> - £</w:t>
      </w:r>
      <w:r w:rsidR="004D43AF">
        <w:rPr>
          <w:rFonts w:cs="Arial"/>
          <w:bCs/>
          <w:szCs w:val="24"/>
        </w:rPr>
        <w:t>2.095</w:t>
      </w:r>
      <w:r w:rsidR="0024450C" w:rsidRPr="003B70CC">
        <w:rPr>
          <w:rFonts w:cs="Arial"/>
          <w:bCs/>
          <w:szCs w:val="24"/>
        </w:rPr>
        <w:t>m</w:t>
      </w:r>
      <w:r w:rsidRPr="003B70CC">
        <w:rPr>
          <w:rFonts w:cs="Arial"/>
          <w:bCs/>
          <w:szCs w:val="24"/>
        </w:rPr>
        <w:t xml:space="preserve"> net overspend. This is made up as follows:</w:t>
      </w:r>
    </w:p>
    <w:p w14:paraId="7729C923" w14:textId="77777777" w:rsidR="00BE0099" w:rsidRPr="003B70CC" w:rsidRDefault="00BE0099" w:rsidP="00BE0099">
      <w:pPr>
        <w:pStyle w:val="ListParagraph"/>
        <w:ind w:left="1418"/>
        <w:jc w:val="both"/>
        <w:rPr>
          <w:rFonts w:cs="Arial"/>
          <w:bCs/>
        </w:rPr>
      </w:pPr>
    </w:p>
    <w:p w14:paraId="04AF43C2" w14:textId="60FD141F" w:rsidR="008D57F5" w:rsidRPr="00A02570" w:rsidRDefault="0024450C" w:rsidP="00AF06B3">
      <w:pPr>
        <w:pStyle w:val="ListParagraph"/>
        <w:numPr>
          <w:ilvl w:val="1"/>
          <w:numId w:val="4"/>
        </w:numPr>
        <w:ind w:left="1418" w:hanging="567"/>
        <w:jc w:val="both"/>
        <w:rPr>
          <w:rFonts w:cs="Arial"/>
          <w:bCs/>
        </w:rPr>
      </w:pPr>
      <w:r w:rsidRPr="00A02570">
        <w:rPr>
          <w:rFonts w:cs="Arial"/>
          <w:b/>
        </w:rPr>
        <w:t>Parking Services</w:t>
      </w:r>
      <w:r w:rsidRPr="00A02570">
        <w:rPr>
          <w:rFonts w:cs="Arial"/>
          <w:bCs/>
        </w:rPr>
        <w:t xml:space="preserve"> - £</w:t>
      </w:r>
      <w:r w:rsidR="003C755E" w:rsidRPr="00A02570">
        <w:rPr>
          <w:rFonts w:cs="Arial"/>
          <w:bCs/>
        </w:rPr>
        <w:t>2.312</w:t>
      </w:r>
      <w:r w:rsidRPr="00A02570">
        <w:rPr>
          <w:rFonts w:cs="Arial"/>
          <w:bCs/>
        </w:rPr>
        <w:t>m net overspend due to underachievement of income generated from penalty charge notices (PCNs)</w:t>
      </w:r>
      <w:r w:rsidR="00545F71" w:rsidRPr="00A02570">
        <w:rPr>
          <w:rFonts w:cs="Arial"/>
          <w:bCs/>
        </w:rPr>
        <w:t xml:space="preserve"> </w:t>
      </w:r>
      <w:r w:rsidR="003C755E" w:rsidRPr="00A02570">
        <w:rPr>
          <w:rFonts w:cs="Arial"/>
          <w:bCs/>
        </w:rPr>
        <w:t xml:space="preserve">of £1.952m </w:t>
      </w:r>
      <w:r w:rsidR="00545F71" w:rsidRPr="00A02570">
        <w:rPr>
          <w:rFonts w:cs="Arial"/>
          <w:bCs/>
        </w:rPr>
        <w:t>and a reduction in car parking income</w:t>
      </w:r>
      <w:r w:rsidR="003C755E" w:rsidRPr="00A02570">
        <w:rPr>
          <w:rFonts w:cs="Arial"/>
          <w:bCs/>
        </w:rPr>
        <w:t xml:space="preserve"> of £360k from the 1 hour free parking initiative </w:t>
      </w:r>
      <w:r w:rsidRPr="00A02570">
        <w:rPr>
          <w:rFonts w:cs="Arial"/>
          <w:bCs/>
        </w:rPr>
        <w:t xml:space="preserve">. Mitigating actions are being put in place to increase enforcement activities and therefore revenue, with a view to </w:t>
      </w:r>
      <w:r w:rsidR="00D30793" w:rsidRPr="00A02570">
        <w:rPr>
          <w:rFonts w:cs="Arial"/>
          <w:bCs/>
        </w:rPr>
        <w:t xml:space="preserve">a </w:t>
      </w:r>
      <w:r w:rsidRPr="00A02570">
        <w:rPr>
          <w:rFonts w:cs="Arial"/>
          <w:bCs/>
        </w:rPr>
        <w:t xml:space="preserve">reduction </w:t>
      </w:r>
      <w:r w:rsidR="00D30793" w:rsidRPr="00A02570">
        <w:rPr>
          <w:rFonts w:cs="Arial"/>
          <w:bCs/>
        </w:rPr>
        <w:t xml:space="preserve">in </w:t>
      </w:r>
      <w:r w:rsidRPr="00A02570">
        <w:rPr>
          <w:rFonts w:cs="Arial"/>
          <w:bCs/>
        </w:rPr>
        <w:t>the forecast loss of income</w:t>
      </w:r>
      <w:r w:rsidR="003C755E" w:rsidRPr="00A02570">
        <w:rPr>
          <w:rFonts w:cs="Arial"/>
          <w:bCs/>
        </w:rPr>
        <w:t xml:space="preserve"> from PCNs</w:t>
      </w:r>
      <w:r w:rsidRPr="00A02570">
        <w:rPr>
          <w:rFonts w:cs="Arial"/>
          <w:bCs/>
        </w:rPr>
        <w:t>.</w:t>
      </w:r>
    </w:p>
    <w:p w14:paraId="18725046" w14:textId="77777777" w:rsidR="00BE0099" w:rsidRPr="00A02570" w:rsidRDefault="00BE0099" w:rsidP="00BE0099">
      <w:pPr>
        <w:pStyle w:val="ListParagraph"/>
        <w:ind w:left="1418"/>
        <w:jc w:val="both"/>
        <w:rPr>
          <w:rFonts w:cs="Arial"/>
          <w:bCs/>
        </w:rPr>
      </w:pPr>
    </w:p>
    <w:p w14:paraId="390F055C" w14:textId="14CB4BCF" w:rsidR="008D57F5" w:rsidRPr="00A02570" w:rsidRDefault="0024450C" w:rsidP="00AF06B3">
      <w:pPr>
        <w:pStyle w:val="ListParagraph"/>
        <w:numPr>
          <w:ilvl w:val="1"/>
          <w:numId w:val="4"/>
        </w:numPr>
        <w:ind w:left="1418" w:hanging="567"/>
        <w:jc w:val="both"/>
        <w:rPr>
          <w:rFonts w:cs="Arial"/>
          <w:bCs/>
        </w:rPr>
      </w:pPr>
      <w:r w:rsidRPr="00A02570">
        <w:rPr>
          <w:rFonts w:cs="Arial"/>
          <w:b/>
        </w:rPr>
        <w:t>Traffic, Highways</w:t>
      </w:r>
      <w:r w:rsidR="008D57F5" w:rsidRPr="00A02570">
        <w:rPr>
          <w:rFonts w:cs="Arial"/>
          <w:b/>
        </w:rPr>
        <w:t xml:space="preserve"> &amp; </w:t>
      </w:r>
      <w:r w:rsidRPr="00A02570">
        <w:rPr>
          <w:rFonts w:cs="Arial"/>
          <w:b/>
        </w:rPr>
        <w:t>Asset</w:t>
      </w:r>
      <w:r w:rsidR="008D57F5" w:rsidRPr="00A02570">
        <w:rPr>
          <w:rFonts w:cs="Arial"/>
          <w:b/>
        </w:rPr>
        <w:t xml:space="preserve"> Management</w:t>
      </w:r>
      <w:r w:rsidR="00DC7010" w:rsidRPr="00A02570">
        <w:rPr>
          <w:rFonts w:cs="Arial"/>
          <w:bCs/>
        </w:rPr>
        <w:t xml:space="preserve"> - £</w:t>
      </w:r>
      <w:r w:rsidRPr="00A02570">
        <w:rPr>
          <w:rFonts w:cs="Arial"/>
          <w:bCs/>
        </w:rPr>
        <w:t>200</w:t>
      </w:r>
      <w:r w:rsidR="00DC7010" w:rsidRPr="00A02570">
        <w:rPr>
          <w:rFonts w:cs="Arial"/>
          <w:bCs/>
        </w:rPr>
        <w:t xml:space="preserve">k net </w:t>
      </w:r>
      <w:r w:rsidRPr="00A02570">
        <w:rPr>
          <w:rFonts w:cs="Arial"/>
          <w:bCs/>
        </w:rPr>
        <w:t>ov</w:t>
      </w:r>
      <w:r w:rsidR="00DC7010" w:rsidRPr="00A02570">
        <w:rPr>
          <w:rFonts w:cs="Arial"/>
          <w:bCs/>
        </w:rPr>
        <w:t>er</w:t>
      </w:r>
      <w:r w:rsidR="00751C64" w:rsidRPr="00A02570">
        <w:rPr>
          <w:rFonts w:cs="Arial"/>
          <w:bCs/>
        </w:rPr>
        <w:t>s</w:t>
      </w:r>
      <w:r w:rsidR="00DC7010" w:rsidRPr="00A02570">
        <w:rPr>
          <w:rFonts w:cs="Arial"/>
          <w:bCs/>
        </w:rPr>
        <w:t>pend</w:t>
      </w:r>
      <w:r w:rsidRPr="00A02570">
        <w:rPr>
          <w:rFonts w:cs="Arial"/>
          <w:bCs/>
        </w:rPr>
        <w:t xml:space="preserve"> on highway reactive maintenance works due in part to a contract indexation uplift and an increase in the level of demand for works.</w:t>
      </w:r>
    </w:p>
    <w:p w14:paraId="589FDF23" w14:textId="77777777" w:rsidR="0024450C" w:rsidRPr="00A02570" w:rsidRDefault="0024450C" w:rsidP="0024450C">
      <w:pPr>
        <w:pStyle w:val="ListParagraph"/>
        <w:rPr>
          <w:rFonts w:cs="Arial"/>
          <w:bCs/>
        </w:rPr>
      </w:pPr>
    </w:p>
    <w:p w14:paraId="3A3612D2" w14:textId="490F8196" w:rsidR="0024450C" w:rsidRPr="00A02570" w:rsidRDefault="0024450C" w:rsidP="00AF06B3">
      <w:pPr>
        <w:pStyle w:val="ListParagraph"/>
        <w:numPr>
          <w:ilvl w:val="1"/>
          <w:numId w:val="4"/>
        </w:numPr>
        <w:ind w:left="1418" w:hanging="567"/>
        <w:jc w:val="both"/>
        <w:rPr>
          <w:rFonts w:cs="Arial"/>
          <w:bCs/>
        </w:rPr>
      </w:pPr>
      <w:r w:rsidRPr="00A02570">
        <w:rPr>
          <w:rFonts w:cs="Arial"/>
          <w:b/>
        </w:rPr>
        <w:t>Clean &amp; Green</w:t>
      </w:r>
      <w:r w:rsidRPr="00A02570">
        <w:rPr>
          <w:rFonts w:cs="Arial"/>
          <w:bCs/>
        </w:rPr>
        <w:t xml:space="preserve"> - £</w:t>
      </w:r>
      <w:r w:rsidR="003C755E" w:rsidRPr="00A02570">
        <w:rPr>
          <w:rFonts w:cs="Arial"/>
          <w:bCs/>
        </w:rPr>
        <w:t>260</w:t>
      </w:r>
      <w:r w:rsidRPr="00A02570">
        <w:rPr>
          <w:rFonts w:cs="Arial"/>
          <w:bCs/>
        </w:rPr>
        <w:t xml:space="preserve">k net underspend due to a historical one-off income for cemeteries owed from Brent and Hillingdon councils relating to the service level agreements (SLAs) in place for </w:t>
      </w:r>
      <w:proofErr w:type="spellStart"/>
      <w:r w:rsidRPr="00A02570">
        <w:rPr>
          <w:rFonts w:cs="Arial"/>
          <w:bCs/>
        </w:rPr>
        <w:t>Carpenders</w:t>
      </w:r>
      <w:proofErr w:type="spellEnd"/>
      <w:r w:rsidRPr="00A02570">
        <w:rPr>
          <w:rFonts w:cs="Arial"/>
          <w:bCs/>
        </w:rPr>
        <w:t xml:space="preserve"> Park Cemetery and Breakspear Crematorium respectively.</w:t>
      </w:r>
      <w:r w:rsidR="003C755E" w:rsidRPr="00A02570">
        <w:rPr>
          <w:rFonts w:cs="Arial"/>
          <w:bCs/>
        </w:rPr>
        <w:t xml:space="preserve">  This is offset by a £40k overspend arising from a shortfall in income on garden waste subscriptions.  Subscription numbers and income will continue to be monitored on a weekly basis.</w:t>
      </w:r>
    </w:p>
    <w:p w14:paraId="477CE113" w14:textId="77777777" w:rsidR="0024450C" w:rsidRPr="003B70CC" w:rsidRDefault="0024450C" w:rsidP="0024450C">
      <w:pPr>
        <w:pStyle w:val="ListParagraph"/>
        <w:rPr>
          <w:rFonts w:cs="Arial"/>
          <w:bCs/>
        </w:rPr>
      </w:pPr>
    </w:p>
    <w:p w14:paraId="562806F6" w14:textId="5BD86EBA" w:rsidR="0024450C" w:rsidRPr="003B70CC" w:rsidRDefault="0024450C" w:rsidP="00AF06B3">
      <w:pPr>
        <w:pStyle w:val="ListParagraph"/>
        <w:numPr>
          <w:ilvl w:val="1"/>
          <w:numId w:val="4"/>
        </w:numPr>
        <w:ind w:left="1418" w:hanging="567"/>
        <w:jc w:val="both"/>
        <w:rPr>
          <w:rFonts w:cs="Arial"/>
          <w:bCs/>
        </w:rPr>
      </w:pPr>
      <w:r w:rsidRPr="003B70CC">
        <w:rPr>
          <w:rFonts w:cs="Arial"/>
          <w:b/>
        </w:rPr>
        <w:t>Strategy, Development &amp; Performance</w:t>
      </w:r>
      <w:r w:rsidRPr="003B70CC">
        <w:rPr>
          <w:rFonts w:cs="Arial"/>
          <w:bCs/>
        </w:rPr>
        <w:t xml:space="preserve"> - £132k net underspend on staffing costs owing to vacant posts across the service. These posts have been held </w:t>
      </w:r>
      <w:r w:rsidR="003B70CC" w:rsidRPr="003B70CC">
        <w:rPr>
          <w:rFonts w:cs="Arial"/>
          <w:bCs/>
        </w:rPr>
        <w:t xml:space="preserve">vacant </w:t>
      </w:r>
      <w:r w:rsidR="003B70CC" w:rsidRPr="00D07885">
        <w:rPr>
          <w:rFonts w:cs="Arial"/>
          <w:bCs/>
        </w:rPr>
        <w:t>pending</w:t>
      </w:r>
      <w:r w:rsidR="003B70CC" w:rsidRPr="003B70CC">
        <w:rPr>
          <w:rFonts w:cs="Arial"/>
          <w:bCs/>
        </w:rPr>
        <w:t xml:space="preserve"> the review of a directorate wide reorganisation. This saving is being used to mitigate against the MTFS target of £125k for the directorate restructure</w:t>
      </w:r>
    </w:p>
    <w:p w14:paraId="7F00441A" w14:textId="77777777" w:rsidR="003B70CC" w:rsidRPr="003B70CC" w:rsidRDefault="003B70CC" w:rsidP="003B70CC">
      <w:pPr>
        <w:pStyle w:val="ListParagraph"/>
        <w:rPr>
          <w:rFonts w:cs="Arial"/>
          <w:bCs/>
        </w:rPr>
      </w:pPr>
    </w:p>
    <w:p w14:paraId="191CC00C" w14:textId="6214531D" w:rsidR="003B70CC" w:rsidRPr="003B70CC" w:rsidRDefault="003B70CC" w:rsidP="00AF06B3">
      <w:pPr>
        <w:pStyle w:val="ListParagraph"/>
        <w:numPr>
          <w:ilvl w:val="1"/>
          <w:numId w:val="4"/>
        </w:numPr>
        <w:ind w:left="1418" w:hanging="567"/>
        <w:jc w:val="both"/>
        <w:rPr>
          <w:rFonts w:cs="Arial"/>
          <w:bCs/>
        </w:rPr>
      </w:pPr>
      <w:r w:rsidRPr="003B70CC">
        <w:rPr>
          <w:rFonts w:cs="Arial"/>
          <w:b/>
        </w:rPr>
        <w:t>Head of Transport &amp; Environmental Operations</w:t>
      </w:r>
      <w:r w:rsidRPr="003B70CC">
        <w:rPr>
          <w:rFonts w:cs="Arial"/>
          <w:bCs/>
        </w:rPr>
        <w:t xml:space="preserve"> - £25k net underspend on employer pension contributions.</w:t>
      </w:r>
    </w:p>
    <w:p w14:paraId="1BABD4EC" w14:textId="705C5880" w:rsidR="00D207F0" w:rsidRPr="003B70CC" w:rsidRDefault="00D207F0" w:rsidP="00DC7010">
      <w:pPr>
        <w:ind w:right="-1"/>
        <w:rPr>
          <w:rFonts w:cs="Arial"/>
          <w:b/>
        </w:rPr>
      </w:pPr>
    </w:p>
    <w:p w14:paraId="0625D6B6" w14:textId="15240A5F" w:rsidR="00DC7010" w:rsidRPr="00D07885" w:rsidRDefault="00DC7010" w:rsidP="00AF06B3">
      <w:pPr>
        <w:pStyle w:val="ListParagraph"/>
        <w:numPr>
          <w:ilvl w:val="0"/>
          <w:numId w:val="4"/>
        </w:numPr>
        <w:ind w:left="567" w:hanging="567"/>
        <w:jc w:val="both"/>
        <w:rPr>
          <w:rFonts w:cs="Arial"/>
          <w:bCs/>
        </w:rPr>
      </w:pPr>
      <w:r w:rsidRPr="003B70CC">
        <w:rPr>
          <w:rFonts w:cs="Arial"/>
          <w:b/>
        </w:rPr>
        <w:t xml:space="preserve">Inclusive Economy, </w:t>
      </w:r>
      <w:r w:rsidR="00D46FF4" w:rsidRPr="003B70CC">
        <w:rPr>
          <w:rFonts w:cs="Arial"/>
          <w:b/>
        </w:rPr>
        <w:t>Leisure,</w:t>
      </w:r>
      <w:r w:rsidRPr="003B70CC">
        <w:rPr>
          <w:rFonts w:cs="Arial"/>
          <w:b/>
        </w:rPr>
        <w:t xml:space="preserve"> and Culture</w:t>
      </w:r>
      <w:r w:rsidRPr="003B70CC">
        <w:rPr>
          <w:rFonts w:cs="Arial"/>
          <w:bCs/>
        </w:rPr>
        <w:t xml:space="preserve"> - £</w:t>
      </w:r>
      <w:r w:rsidR="003B70CC" w:rsidRPr="003B70CC">
        <w:rPr>
          <w:rFonts w:cs="Arial"/>
          <w:bCs/>
        </w:rPr>
        <w:t>99</w:t>
      </w:r>
      <w:r w:rsidRPr="003B70CC">
        <w:rPr>
          <w:rFonts w:cs="Arial"/>
          <w:bCs/>
        </w:rPr>
        <w:t xml:space="preserve">k net </w:t>
      </w:r>
      <w:r w:rsidR="003B70CC" w:rsidRPr="003B70CC">
        <w:rPr>
          <w:rFonts w:cs="Arial"/>
          <w:bCs/>
        </w:rPr>
        <w:t>und</w:t>
      </w:r>
      <w:r w:rsidRPr="003B70CC">
        <w:rPr>
          <w:rFonts w:cs="Arial"/>
          <w:bCs/>
        </w:rPr>
        <w:t>erspend</w:t>
      </w:r>
      <w:r w:rsidR="003B70CC" w:rsidRPr="003B70CC">
        <w:rPr>
          <w:rFonts w:cs="Arial"/>
          <w:bCs/>
        </w:rPr>
        <w:t xml:space="preserve"> due to a vacant post and reduced working </w:t>
      </w:r>
      <w:r w:rsidR="003B70CC" w:rsidRPr="00D07885">
        <w:rPr>
          <w:rFonts w:cs="Arial"/>
          <w:bCs/>
        </w:rPr>
        <w:t>hours arrangements.</w:t>
      </w:r>
    </w:p>
    <w:p w14:paraId="61622879" w14:textId="77777777" w:rsidR="003B70CC" w:rsidRPr="00D07885" w:rsidRDefault="003B70CC" w:rsidP="003B70CC">
      <w:pPr>
        <w:pStyle w:val="ListParagraph"/>
        <w:ind w:left="567"/>
        <w:jc w:val="both"/>
        <w:rPr>
          <w:rFonts w:cs="Arial"/>
          <w:bCs/>
        </w:rPr>
      </w:pPr>
    </w:p>
    <w:p w14:paraId="2916FD21" w14:textId="70E87D1C" w:rsidR="00DC7010" w:rsidRPr="00D07885" w:rsidRDefault="00DC7010" w:rsidP="00AF06B3">
      <w:pPr>
        <w:pStyle w:val="ListParagraph"/>
        <w:numPr>
          <w:ilvl w:val="0"/>
          <w:numId w:val="4"/>
        </w:numPr>
        <w:ind w:left="567" w:hanging="567"/>
        <w:jc w:val="both"/>
        <w:rPr>
          <w:rFonts w:cs="Arial"/>
          <w:bCs/>
        </w:rPr>
      </w:pPr>
      <w:r w:rsidRPr="00D07885">
        <w:rPr>
          <w:rFonts w:cs="Arial"/>
          <w:b/>
        </w:rPr>
        <w:t>Regeneration and Sustainable Development</w:t>
      </w:r>
      <w:r w:rsidRPr="00D07885">
        <w:rPr>
          <w:rFonts w:cs="Arial"/>
          <w:bCs/>
        </w:rPr>
        <w:t xml:space="preserve"> - £</w:t>
      </w:r>
      <w:r w:rsidR="003B70CC" w:rsidRPr="00D07885">
        <w:rPr>
          <w:rFonts w:cs="Arial"/>
          <w:bCs/>
        </w:rPr>
        <w:t>700k</w:t>
      </w:r>
      <w:r w:rsidRPr="00D07885">
        <w:rPr>
          <w:rFonts w:cs="Arial"/>
          <w:bCs/>
        </w:rPr>
        <w:t xml:space="preserve"> net overspend</w:t>
      </w:r>
    </w:p>
    <w:p w14:paraId="2A9B4C50" w14:textId="77777777" w:rsidR="00BE0099" w:rsidRPr="00D07885" w:rsidRDefault="00BE0099" w:rsidP="00BE0099">
      <w:pPr>
        <w:pStyle w:val="ListParagraph"/>
        <w:ind w:left="1418"/>
        <w:jc w:val="both"/>
        <w:rPr>
          <w:rFonts w:cs="Arial"/>
          <w:bCs/>
        </w:rPr>
      </w:pPr>
    </w:p>
    <w:p w14:paraId="1F67FC92" w14:textId="04C2EC4A" w:rsidR="00DC7010" w:rsidRPr="00D07885" w:rsidRDefault="003B70CC" w:rsidP="00AF06B3">
      <w:pPr>
        <w:pStyle w:val="ListParagraph"/>
        <w:numPr>
          <w:ilvl w:val="1"/>
          <w:numId w:val="4"/>
        </w:numPr>
        <w:ind w:left="1418" w:hanging="567"/>
        <w:jc w:val="both"/>
        <w:rPr>
          <w:rFonts w:cs="Arial"/>
          <w:bCs/>
        </w:rPr>
      </w:pPr>
      <w:r w:rsidRPr="00D07885">
        <w:rPr>
          <w:rFonts w:cs="Arial"/>
          <w:b/>
        </w:rPr>
        <w:t>Planning</w:t>
      </w:r>
      <w:r w:rsidRPr="00D07885">
        <w:rPr>
          <w:rFonts w:cs="Arial"/>
          <w:bCs/>
        </w:rPr>
        <w:t xml:space="preserve"> - £261k net overspend due to forecast underachievement of planning income, driven by lower-than-expected number of applications</w:t>
      </w:r>
    </w:p>
    <w:p w14:paraId="23258B60" w14:textId="77777777" w:rsidR="003B70CC" w:rsidRPr="00D07885" w:rsidRDefault="003B70CC" w:rsidP="003B70CC">
      <w:pPr>
        <w:pStyle w:val="ListParagraph"/>
        <w:ind w:left="1418"/>
        <w:jc w:val="both"/>
        <w:rPr>
          <w:rFonts w:cs="Arial"/>
          <w:bCs/>
        </w:rPr>
      </w:pPr>
    </w:p>
    <w:p w14:paraId="00B4D75C" w14:textId="71C81048" w:rsidR="003B70CC" w:rsidRPr="00D07885" w:rsidRDefault="003B70CC" w:rsidP="00AF06B3">
      <w:pPr>
        <w:pStyle w:val="ListParagraph"/>
        <w:numPr>
          <w:ilvl w:val="1"/>
          <w:numId w:val="4"/>
        </w:numPr>
        <w:ind w:left="1418" w:hanging="567"/>
        <w:jc w:val="both"/>
        <w:rPr>
          <w:rFonts w:cs="Arial"/>
          <w:bCs/>
        </w:rPr>
      </w:pPr>
      <w:r w:rsidRPr="00D07885">
        <w:rPr>
          <w:rFonts w:cs="Arial"/>
          <w:b/>
        </w:rPr>
        <w:t>Building Control</w:t>
      </w:r>
      <w:r w:rsidRPr="00D07885">
        <w:rPr>
          <w:rFonts w:cs="Arial"/>
          <w:bCs/>
        </w:rPr>
        <w:t xml:space="preserve"> - £116k net overspend due to forecast underachievement of income from building control works</w:t>
      </w:r>
    </w:p>
    <w:p w14:paraId="00F4D0DA" w14:textId="77777777" w:rsidR="003B70CC" w:rsidRPr="00D07885" w:rsidRDefault="003B70CC" w:rsidP="003B70CC">
      <w:pPr>
        <w:pStyle w:val="ListParagraph"/>
        <w:ind w:left="1418"/>
        <w:jc w:val="both"/>
        <w:rPr>
          <w:rFonts w:cs="Arial"/>
          <w:bCs/>
        </w:rPr>
      </w:pPr>
    </w:p>
    <w:p w14:paraId="0C20A455" w14:textId="4AFCE0E2" w:rsidR="003B70CC" w:rsidRPr="00D07885" w:rsidRDefault="003B70CC" w:rsidP="00AF06B3">
      <w:pPr>
        <w:pStyle w:val="ListParagraph"/>
        <w:numPr>
          <w:ilvl w:val="1"/>
          <w:numId w:val="4"/>
        </w:numPr>
        <w:ind w:left="1418" w:hanging="567"/>
        <w:jc w:val="both"/>
        <w:rPr>
          <w:rFonts w:cs="Arial"/>
          <w:bCs/>
        </w:rPr>
      </w:pPr>
      <w:r w:rsidRPr="00D07885">
        <w:rPr>
          <w:rFonts w:cs="Arial"/>
          <w:b/>
        </w:rPr>
        <w:lastRenderedPageBreak/>
        <w:t>Facilities Management</w:t>
      </w:r>
      <w:r w:rsidRPr="00D07885">
        <w:rPr>
          <w:rFonts w:cs="Arial"/>
          <w:bCs/>
        </w:rPr>
        <w:t xml:space="preserve"> - £42k net underspend. The building repair &amp; maintenance budget is forecast to overspend by £400k based on historical trend on spend. In addition, a further overspend of £70k is forecast following the deployment of additional security staff across various council buildings. This has been offset by a forecast underspend on other staffing costs of £202k as a result of vacant posts and a net credit of £310k relating to the annual NNDR bill for the Civic Centre.</w:t>
      </w:r>
    </w:p>
    <w:p w14:paraId="1E58DD81" w14:textId="77777777" w:rsidR="003B70CC" w:rsidRPr="00D07885" w:rsidRDefault="003B70CC" w:rsidP="003B70CC">
      <w:pPr>
        <w:pStyle w:val="ListParagraph"/>
        <w:rPr>
          <w:rFonts w:cs="Arial"/>
          <w:bCs/>
        </w:rPr>
      </w:pPr>
    </w:p>
    <w:p w14:paraId="624C25F4" w14:textId="0C640743" w:rsidR="003B70CC" w:rsidRPr="00D07885" w:rsidRDefault="003B70CC" w:rsidP="00AF06B3">
      <w:pPr>
        <w:pStyle w:val="ListParagraph"/>
        <w:numPr>
          <w:ilvl w:val="1"/>
          <w:numId w:val="4"/>
        </w:numPr>
        <w:ind w:left="1418" w:hanging="567"/>
        <w:jc w:val="both"/>
        <w:rPr>
          <w:rFonts w:cs="Arial"/>
          <w:bCs/>
        </w:rPr>
      </w:pPr>
      <w:r w:rsidRPr="00D07885">
        <w:rPr>
          <w:rFonts w:cs="Arial"/>
          <w:b/>
        </w:rPr>
        <w:t>Head of Facilities &amp; Estates</w:t>
      </w:r>
      <w:r w:rsidRPr="00D07885">
        <w:rPr>
          <w:rFonts w:cs="Arial"/>
          <w:bCs/>
        </w:rPr>
        <w:t xml:space="preserve"> - £55k net overspend on staffing due to interim arrangements</w:t>
      </w:r>
      <w:r w:rsidR="00D07885" w:rsidRPr="00D07885">
        <w:rPr>
          <w:rFonts w:cs="Arial"/>
          <w:bCs/>
        </w:rPr>
        <w:t>.</w:t>
      </w:r>
    </w:p>
    <w:p w14:paraId="6F2E8BE5" w14:textId="77777777" w:rsidR="003B70CC" w:rsidRPr="00D07885" w:rsidRDefault="003B70CC" w:rsidP="003B70CC">
      <w:pPr>
        <w:pStyle w:val="ListParagraph"/>
        <w:rPr>
          <w:rFonts w:cs="Arial"/>
          <w:bCs/>
        </w:rPr>
      </w:pPr>
    </w:p>
    <w:p w14:paraId="45F8A714" w14:textId="29AA7C01" w:rsidR="003B70CC" w:rsidRPr="00D07885" w:rsidRDefault="003B70CC" w:rsidP="00AF06B3">
      <w:pPr>
        <w:pStyle w:val="ListParagraph"/>
        <w:numPr>
          <w:ilvl w:val="1"/>
          <w:numId w:val="4"/>
        </w:numPr>
        <w:ind w:left="1418" w:hanging="567"/>
        <w:jc w:val="both"/>
        <w:rPr>
          <w:rFonts w:cs="Arial"/>
          <w:bCs/>
        </w:rPr>
      </w:pPr>
      <w:r w:rsidRPr="00D07885">
        <w:rPr>
          <w:rFonts w:cs="Arial"/>
          <w:b/>
        </w:rPr>
        <w:t>Catering Services</w:t>
      </w:r>
      <w:r w:rsidRPr="00D07885">
        <w:rPr>
          <w:rFonts w:cs="Arial"/>
          <w:bCs/>
        </w:rPr>
        <w:t xml:space="preserve"> - £310k net overspend due to reduced sales from the canteen at HCH which has resulted in £168k loss of income. In addition, following the cessation of Meals on Wheels service, </w:t>
      </w:r>
      <w:r w:rsidR="00D07885" w:rsidRPr="00D07885">
        <w:rPr>
          <w:rFonts w:cs="Arial"/>
          <w:bCs/>
        </w:rPr>
        <w:t xml:space="preserve">there are </w:t>
      </w:r>
      <w:r w:rsidRPr="00D07885">
        <w:rPr>
          <w:rFonts w:cs="Arial"/>
          <w:bCs/>
        </w:rPr>
        <w:t xml:space="preserve">one-off </w:t>
      </w:r>
      <w:r w:rsidR="00D07885" w:rsidRPr="00D07885">
        <w:rPr>
          <w:rFonts w:cs="Arial"/>
          <w:bCs/>
        </w:rPr>
        <w:t>residual</w:t>
      </w:r>
      <w:r w:rsidRPr="00D07885">
        <w:rPr>
          <w:rFonts w:cs="Arial"/>
          <w:bCs/>
        </w:rPr>
        <w:t xml:space="preserve"> costs and redundancy costs in 2023-24 </w:t>
      </w:r>
      <w:r w:rsidR="00D07885" w:rsidRPr="00D07885">
        <w:rPr>
          <w:rFonts w:cs="Arial"/>
          <w:bCs/>
        </w:rPr>
        <w:t>totalling</w:t>
      </w:r>
      <w:r w:rsidRPr="00D07885">
        <w:rPr>
          <w:rFonts w:cs="Arial"/>
          <w:bCs/>
        </w:rPr>
        <w:t xml:space="preserve"> </w:t>
      </w:r>
      <w:r w:rsidR="00D07885" w:rsidRPr="00D07885">
        <w:rPr>
          <w:rFonts w:cs="Arial"/>
          <w:bCs/>
        </w:rPr>
        <w:t>£143k.</w:t>
      </w:r>
    </w:p>
    <w:p w14:paraId="6D860D51" w14:textId="77777777" w:rsidR="00BE0099" w:rsidRPr="00541017" w:rsidRDefault="00BE0099" w:rsidP="00BE0099">
      <w:pPr>
        <w:pStyle w:val="ListParagraph"/>
        <w:ind w:left="1418"/>
        <w:jc w:val="both"/>
        <w:rPr>
          <w:rFonts w:cs="Arial"/>
          <w:bCs/>
          <w:color w:val="FF0000"/>
        </w:rPr>
      </w:pPr>
    </w:p>
    <w:p w14:paraId="19761DFA" w14:textId="77777777" w:rsidR="004D1EB8" w:rsidRDefault="004D1EB8" w:rsidP="00D07885">
      <w:pPr>
        <w:pStyle w:val="ListParagraph"/>
        <w:ind w:left="567"/>
        <w:jc w:val="both"/>
        <w:rPr>
          <w:rFonts w:cs="Arial"/>
          <w:b/>
        </w:rPr>
      </w:pPr>
    </w:p>
    <w:p w14:paraId="5D68FA43" w14:textId="002EAB81" w:rsidR="00D07885" w:rsidRPr="00F8618D" w:rsidRDefault="00BE0099" w:rsidP="00D07885">
      <w:pPr>
        <w:pStyle w:val="ListParagraph"/>
        <w:ind w:left="567"/>
        <w:jc w:val="both"/>
        <w:rPr>
          <w:rFonts w:cs="Arial"/>
          <w:bCs/>
        </w:rPr>
      </w:pPr>
      <w:r w:rsidRPr="00F8618D">
        <w:rPr>
          <w:rFonts w:cs="Arial"/>
          <w:b/>
        </w:rPr>
        <w:t>Housing General Fund</w:t>
      </w:r>
    </w:p>
    <w:p w14:paraId="6E7CF5A6" w14:textId="77777777" w:rsidR="00D07885" w:rsidRPr="00F8618D" w:rsidRDefault="00D07885" w:rsidP="00D07885">
      <w:pPr>
        <w:pStyle w:val="ListParagraph"/>
        <w:ind w:left="567"/>
        <w:jc w:val="both"/>
        <w:rPr>
          <w:rFonts w:cs="Arial"/>
          <w:bCs/>
        </w:rPr>
      </w:pPr>
    </w:p>
    <w:p w14:paraId="5EB0D52A" w14:textId="01C7ECCF" w:rsidR="00F8618D" w:rsidRPr="00F8618D" w:rsidRDefault="00D07885" w:rsidP="00F8618D">
      <w:pPr>
        <w:pStyle w:val="ListParagraph"/>
        <w:numPr>
          <w:ilvl w:val="0"/>
          <w:numId w:val="4"/>
        </w:numPr>
        <w:ind w:left="567" w:hanging="567"/>
        <w:jc w:val="both"/>
        <w:rPr>
          <w:rFonts w:cs="Arial"/>
          <w:bCs/>
        </w:rPr>
      </w:pPr>
      <w:r w:rsidRPr="00F8618D">
        <w:rPr>
          <w:rFonts w:cs="Arial"/>
          <w:bCs/>
          <w:caps/>
        </w:rPr>
        <w:t>A</w:t>
      </w:r>
      <w:r w:rsidRPr="00F8618D">
        <w:rPr>
          <w:rFonts w:cs="Arial"/>
          <w:bCs/>
        </w:rPr>
        <w:t>s at Q</w:t>
      </w:r>
      <w:r w:rsidRPr="00F8618D">
        <w:rPr>
          <w:rFonts w:cstheme="minorHAnsi"/>
          <w:lang w:val="en-US"/>
        </w:rPr>
        <w:t xml:space="preserve">1 there is a projected draw down from the Homelessness Prevention Grant (HPG) reserve of £1.593m, </w:t>
      </w:r>
      <w:r w:rsidR="00AD7DCA">
        <w:rPr>
          <w:rFonts w:cstheme="minorHAnsi"/>
          <w:lang w:val="en-US"/>
        </w:rPr>
        <w:t xml:space="preserve">which is in addition to the </w:t>
      </w:r>
      <w:r w:rsidRPr="00F8618D">
        <w:rPr>
          <w:rFonts w:cstheme="minorHAnsi"/>
          <w:lang w:val="en-US"/>
        </w:rPr>
        <w:t>full use of the 2023-24 HPG of £2.312m and the HPG Ukraine of £627k. In addition, there is corporate funding of £130k. This will leave a balance on the HPG reserve of £2.678m.</w:t>
      </w:r>
    </w:p>
    <w:p w14:paraId="57475D17" w14:textId="77777777" w:rsidR="00F8618D" w:rsidRPr="00F8618D" w:rsidRDefault="00F8618D" w:rsidP="00F8618D">
      <w:pPr>
        <w:pStyle w:val="ListParagraph"/>
        <w:ind w:left="567"/>
        <w:jc w:val="both"/>
        <w:rPr>
          <w:rFonts w:cs="Arial"/>
          <w:bCs/>
        </w:rPr>
      </w:pPr>
    </w:p>
    <w:p w14:paraId="193F42E5" w14:textId="0B8F87C4" w:rsidR="00F8618D" w:rsidRPr="009A695C" w:rsidRDefault="00F8618D" w:rsidP="00F8618D">
      <w:pPr>
        <w:pStyle w:val="ListParagraph"/>
        <w:numPr>
          <w:ilvl w:val="0"/>
          <w:numId w:val="4"/>
        </w:numPr>
        <w:ind w:left="567" w:hanging="567"/>
        <w:jc w:val="both"/>
        <w:rPr>
          <w:rFonts w:cs="Arial"/>
          <w:bCs/>
        </w:rPr>
      </w:pPr>
      <w:r w:rsidRPr="00F8618D">
        <w:rPr>
          <w:rFonts w:cs="Arial"/>
          <w:bCs/>
        </w:rPr>
        <w:t>The £1.593m increase in the use of HP</w:t>
      </w:r>
      <w:r w:rsidR="00A86E59">
        <w:rPr>
          <w:rFonts w:cs="Arial"/>
          <w:bCs/>
        </w:rPr>
        <w:t>G</w:t>
      </w:r>
      <w:r w:rsidRPr="00F8618D">
        <w:rPr>
          <w:rFonts w:cs="Arial"/>
          <w:bCs/>
        </w:rPr>
        <w:t xml:space="preserve"> in 2023-24 is towards the prevention of homelessness; keeping the vulnerable households in their current accommodation. However, the spiralling cost of living may result in vulnerable households prioritising food over rent </w:t>
      </w:r>
      <w:r w:rsidR="00AD7DCA">
        <w:rPr>
          <w:rFonts w:cs="Arial"/>
          <w:bCs/>
        </w:rPr>
        <w:t xml:space="preserve">which </w:t>
      </w:r>
      <w:r w:rsidRPr="00F8618D">
        <w:rPr>
          <w:rFonts w:cs="Arial"/>
          <w:bCs/>
        </w:rPr>
        <w:t xml:space="preserve">will increase the demand for support. The number of evictions from the unpredictable private rented sector has increased </w:t>
      </w:r>
      <w:r w:rsidRPr="009A695C">
        <w:rPr>
          <w:rFonts w:cs="Arial"/>
          <w:bCs/>
        </w:rPr>
        <w:t>significantly placing a burden on the HPG.</w:t>
      </w:r>
    </w:p>
    <w:p w14:paraId="3B4B7C8F" w14:textId="77777777" w:rsidR="00F8618D" w:rsidRPr="009A695C" w:rsidRDefault="00F8618D" w:rsidP="00F8618D">
      <w:pPr>
        <w:pStyle w:val="ListParagraph"/>
        <w:ind w:left="567"/>
        <w:jc w:val="both"/>
        <w:rPr>
          <w:rFonts w:cs="Arial"/>
          <w:bCs/>
        </w:rPr>
      </w:pPr>
    </w:p>
    <w:p w14:paraId="08EB294E" w14:textId="40EE83B3" w:rsidR="00957EA1" w:rsidRPr="009A695C" w:rsidRDefault="004052E3" w:rsidP="00F8618D">
      <w:pPr>
        <w:pStyle w:val="ListParagraph"/>
        <w:ind w:left="567"/>
        <w:jc w:val="both"/>
        <w:rPr>
          <w:rFonts w:cs="Arial"/>
          <w:bCs/>
        </w:rPr>
      </w:pPr>
      <w:r w:rsidRPr="009A695C">
        <w:rPr>
          <w:rFonts w:cs="Arial"/>
          <w:b/>
          <w:bCs/>
          <w:szCs w:val="24"/>
        </w:rPr>
        <w:t>Housing Revenue Account</w:t>
      </w:r>
      <w:r w:rsidR="00957EA1" w:rsidRPr="009A695C">
        <w:rPr>
          <w:rFonts w:cs="Arial"/>
          <w:b/>
          <w:bCs/>
          <w:szCs w:val="24"/>
        </w:rPr>
        <w:t xml:space="preserve"> (HRA)</w:t>
      </w:r>
    </w:p>
    <w:p w14:paraId="409C4DD5" w14:textId="77777777" w:rsidR="00957EA1" w:rsidRPr="009A695C" w:rsidRDefault="00957EA1" w:rsidP="00957EA1">
      <w:pPr>
        <w:pStyle w:val="ListParagraph"/>
        <w:rPr>
          <w:rFonts w:cs="Arial"/>
          <w:bCs/>
          <w:szCs w:val="24"/>
        </w:rPr>
      </w:pPr>
    </w:p>
    <w:p w14:paraId="3CAA9D95" w14:textId="406C3767" w:rsidR="00957EA1" w:rsidRPr="004D1EB8" w:rsidRDefault="009A695C" w:rsidP="009A695C">
      <w:pPr>
        <w:pStyle w:val="ListParagraph"/>
        <w:numPr>
          <w:ilvl w:val="0"/>
          <w:numId w:val="4"/>
        </w:numPr>
        <w:ind w:left="460" w:hanging="567"/>
        <w:jc w:val="both"/>
      </w:pPr>
      <w:r w:rsidRPr="009A695C">
        <w:rPr>
          <w:rFonts w:cs="Arial"/>
          <w:bCs/>
          <w:szCs w:val="24"/>
        </w:rPr>
        <w:t xml:space="preserve">The HRA budget was set with an in-year surplus for £423k in 2023-24. The forecast at Q1 is </w:t>
      </w:r>
      <w:r w:rsidR="00C721EE">
        <w:rPr>
          <w:rFonts w:cs="Arial"/>
          <w:bCs/>
          <w:szCs w:val="24"/>
        </w:rPr>
        <w:t>an increased</w:t>
      </w:r>
      <w:r w:rsidR="00C721EE" w:rsidRPr="009A695C">
        <w:rPr>
          <w:rFonts w:cs="Arial"/>
          <w:bCs/>
          <w:szCs w:val="24"/>
        </w:rPr>
        <w:t xml:space="preserve"> </w:t>
      </w:r>
      <w:r w:rsidRPr="009A695C">
        <w:rPr>
          <w:rFonts w:cs="Arial"/>
          <w:bCs/>
          <w:szCs w:val="24"/>
        </w:rPr>
        <w:t>surplus of £</w:t>
      </w:r>
      <w:r w:rsidR="00C721EE">
        <w:rPr>
          <w:rFonts w:cs="Arial"/>
          <w:bCs/>
          <w:szCs w:val="24"/>
        </w:rPr>
        <w:t>50</w:t>
      </w:r>
      <w:r w:rsidRPr="009A695C">
        <w:rPr>
          <w:rFonts w:cs="Arial"/>
          <w:bCs/>
          <w:szCs w:val="24"/>
        </w:rPr>
        <w:t xml:space="preserve">0k. The </w:t>
      </w:r>
      <w:r w:rsidR="00C721EE">
        <w:rPr>
          <w:rFonts w:cs="Arial"/>
          <w:bCs/>
          <w:szCs w:val="24"/>
        </w:rPr>
        <w:t xml:space="preserve">favourable </w:t>
      </w:r>
      <w:r w:rsidRPr="009A695C">
        <w:rPr>
          <w:rFonts w:cs="Arial"/>
          <w:bCs/>
          <w:szCs w:val="24"/>
        </w:rPr>
        <w:t>variance of £</w:t>
      </w:r>
      <w:r w:rsidR="00C721EE">
        <w:rPr>
          <w:rFonts w:cs="Arial"/>
          <w:bCs/>
          <w:szCs w:val="24"/>
        </w:rPr>
        <w:t>77k</w:t>
      </w:r>
      <w:r w:rsidR="00C721EE" w:rsidRPr="009A695C">
        <w:rPr>
          <w:rFonts w:cs="Arial"/>
          <w:bCs/>
          <w:szCs w:val="24"/>
        </w:rPr>
        <w:t xml:space="preserve"> </w:t>
      </w:r>
      <w:r w:rsidRPr="009A695C">
        <w:rPr>
          <w:rFonts w:cs="Arial"/>
          <w:bCs/>
          <w:szCs w:val="24"/>
        </w:rPr>
        <w:t>is made up as follows:</w:t>
      </w:r>
    </w:p>
    <w:p w14:paraId="432C0538" w14:textId="77777777" w:rsidR="004D1EB8" w:rsidRPr="009A695C" w:rsidRDefault="004D1EB8" w:rsidP="003A08EA">
      <w:pPr>
        <w:pStyle w:val="ListParagraph"/>
        <w:ind w:left="460"/>
        <w:jc w:val="both"/>
      </w:pPr>
    </w:p>
    <w:p w14:paraId="658AD5F8" w14:textId="6CBEACCE" w:rsidR="009A695C" w:rsidRPr="009A695C" w:rsidRDefault="009A695C" w:rsidP="009A695C">
      <w:pPr>
        <w:pStyle w:val="ListParagraph"/>
        <w:numPr>
          <w:ilvl w:val="1"/>
          <w:numId w:val="4"/>
        </w:numPr>
        <w:ind w:left="1418" w:hanging="567"/>
        <w:jc w:val="both"/>
      </w:pPr>
      <w:r w:rsidRPr="004D1EB8">
        <w:rPr>
          <w:rFonts w:cs="Arial"/>
          <w:b/>
          <w:szCs w:val="24"/>
        </w:rPr>
        <w:t>Reduction in income</w:t>
      </w:r>
      <w:r w:rsidRPr="009A695C">
        <w:rPr>
          <w:rFonts w:cs="Arial"/>
          <w:bCs/>
          <w:szCs w:val="24"/>
        </w:rPr>
        <w:t xml:space="preserve"> - £33</w:t>
      </w:r>
      <w:r w:rsidR="00C721EE">
        <w:rPr>
          <w:rFonts w:cs="Arial"/>
          <w:bCs/>
          <w:szCs w:val="24"/>
        </w:rPr>
        <w:t>8</w:t>
      </w:r>
      <w:r w:rsidRPr="009A695C">
        <w:rPr>
          <w:rFonts w:cs="Arial"/>
          <w:bCs/>
          <w:szCs w:val="24"/>
        </w:rPr>
        <w:t>k net pressure due to higher void levels £150k, reduced service and facility charges £30</w:t>
      </w:r>
      <w:r w:rsidR="00C721EE">
        <w:rPr>
          <w:rFonts w:cs="Arial"/>
          <w:bCs/>
          <w:szCs w:val="24"/>
        </w:rPr>
        <w:t>3</w:t>
      </w:r>
      <w:r w:rsidRPr="009A695C">
        <w:rPr>
          <w:rFonts w:cs="Arial"/>
          <w:bCs/>
          <w:szCs w:val="24"/>
        </w:rPr>
        <w:t>k, reduced forecast of non-dwelling income £36k and reduced income £44k for hall hire and court cost income recovery. These have partially offset by increased income £195k on investments of HRA balances held.</w:t>
      </w:r>
    </w:p>
    <w:p w14:paraId="06455364" w14:textId="77777777" w:rsidR="009A695C" w:rsidRPr="009A695C" w:rsidRDefault="009A695C" w:rsidP="009A695C">
      <w:pPr>
        <w:pStyle w:val="ListParagraph"/>
        <w:ind w:left="1418"/>
        <w:jc w:val="both"/>
      </w:pPr>
    </w:p>
    <w:p w14:paraId="036D01BC" w14:textId="45F84AFD" w:rsidR="009A695C" w:rsidRPr="009A695C" w:rsidRDefault="009A695C" w:rsidP="009A695C">
      <w:pPr>
        <w:pStyle w:val="ListParagraph"/>
        <w:numPr>
          <w:ilvl w:val="1"/>
          <w:numId w:val="4"/>
        </w:numPr>
        <w:ind w:left="1418" w:hanging="567"/>
        <w:jc w:val="both"/>
      </w:pPr>
      <w:r w:rsidRPr="004D1EB8">
        <w:rPr>
          <w:rFonts w:cs="Arial"/>
          <w:b/>
          <w:szCs w:val="24"/>
        </w:rPr>
        <w:t>Supervision &amp; Management</w:t>
      </w:r>
      <w:r w:rsidRPr="009A695C">
        <w:rPr>
          <w:rFonts w:cs="Arial"/>
          <w:bCs/>
          <w:szCs w:val="24"/>
        </w:rPr>
        <w:t xml:space="preserve"> - £295k reduced expenditure due to lower forecast of utilities spend £145k following management action and lower energy prices, and staff vacancies £150k.</w:t>
      </w:r>
    </w:p>
    <w:p w14:paraId="7920B3EE" w14:textId="77777777" w:rsidR="009A695C" w:rsidRPr="009A695C" w:rsidRDefault="009A695C" w:rsidP="009A695C">
      <w:pPr>
        <w:pStyle w:val="ListParagraph"/>
      </w:pPr>
    </w:p>
    <w:p w14:paraId="4846C692" w14:textId="77777777" w:rsidR="00CB24A9" w:rsidRDefault="009A695C" w:rsidP="00CB24A9">
      <w:pPr>
        <w:pStyle w:val="ListParagraph"/>
        <w:numPr>
          <w:ilvl w:val="1"/>
          <w:numId w:val="4"/>
        </w:numPr>
        <w:ind w:left="1418" w:hanging="567"/>
        <w:jc w:val="both"/>
      </w:pPr>
      <w:r w:rsidRPr="004D1EB8">
        <w:rPr>
          <w:b/>
          <w:bCs/>
        </w:rPr>
        <w:lastRenderedPageBreak/>
        <w:t xml:space="preserve">Repairs &amp; Maintenance </w:t>
      </w:r>
      <w:r w:rsidRPr="009A695C">
        <w:t>- £60k pressure due to loss of temporary accommodation income</w:t>
      </w:r>
      <w:bookmarkStart w:id="3" w:name="_Hlk142981793"/>
    </w:p>
    <w:p w14:paraId="5E3CB2C4" w14:textId="77777777" w:rsidR="00CB24A9" w:rsidRPr="00CB24A9" w:rsidRDefault="00CB24A9" w:rsidP="00CB24A9">
      <w:pPr>
        <w:pStyle w:val="ListParagraph"/>
        <w:rPr>
          <w:b/>
          <w:bCs/>
        </w:rPr>
      </w:pPr>
    </w:p>
    <w:p w14:paraId="4B29B18E" w14:textId="7279DE01" w:rsidR="004D1EB8" w:rsidRPr="00CB24A9" w:rsidRDefault="009A695C" w:rsidP="00CB24A9">
      <w:pPr>
        <w:pStyle w:val="ListParagraph"/>
        <w:numPr>
          <w:ilvl w:val="1"/>
          <w:numId w:val="4"/>
        </w:numPr>
        <w:ind w:left="1418" w:hanging="567"/>
        <w:jc w:val="both"/>
      </w:pPr>
      <w:r w:rsidRPr="00CB24A9">
        <w:rPr>
          <w:b/>
          <w:bCs/>
        </w:rPr>
        <w:t>Capital Charges</w:t>
      </w:r>
      <w:r w:rsidRPr="009A695C">
        <w:t xml:space="preserve"> - </w:t>
      </w:r>
      <w:r w:rsidR="00C721EE">
        <w:t>£180k reduction as a result of the review and rephasing of the BCHFL Capital programme based on current information</w:t>
      </w:r>
    </w:p>
    <w:bookmarkEnd w:id="3"/>
    <w:p w14:paraId="07924279" w14:textId="2CBE3F73" w:rsidR="006C2716" w:rsidRDefault="006C2716" w:rsidP="004052E3">
      <w:pPr>
        <w:ind w:right="-1" w:firstLine="460"/>
        <w:rPr>
          <w:rFonts w:cs="Arial"/>
          <w:b/>
          <w:u w:val="single"/>
        </w:rPr>
      </w:pPr>
    </w:p>
    <w:p w14:paraId="781AF377" w14:textId="77777777" w:rsidR="00FD4F48" w:rsidRDefault="00FD4F48" w:rsidP="004052E3">
      <w:pPr>
        <w:ind w:right="-1" w:firstLine="460"/>
        <w:rPr>
          <w:rFonts w:cs="Arial"/>
          <w:b/>
          <w:u w:val="single"/>
        </w:rPr>
      </w:pPr>
    </w:p>
    <w:p w14:paraId="763E6DF8" w14:textId="4D1F1093" w:rsidR="00F6344A" w:rsidRPr="004D1EB8" w:rsidRDefault="00F6344A" w:rsidP="004052E3">
      <w:pPr>
        <w:ind w:right="-1" w:firstLine="460"/>
        <w:rPr>
          <w:rFonts w:cs="Arial"/>
          <w:b/>
          <w:u w:val="single"/>
        </w:rPr>
      </w:pPr>
      <w:r w:rsidRPr="004D1EB8">
        <w:rPr>
          <w:rFonts w:cs="Arial"/>
          <w:b/>
          <w:u w:val="single"/>
        </w:rPr>
        <w:t>PEOPLE SERVICES</w:t>
      </w:r>
    </w:p>
    <w:p w14:paraId="52C5EB08" w14:textId="77777777" w:rsidR="001619BF" w:rsidRPr="004D1EB8" w:rsidRDefault="001619BF" w:rsidP="000C14C0">
      <w:pPr>
        <w:rPr>
          <w:b/>
          <w:bCs/>
          <w:szCs w:val="24"/>
          <w:u w:val="single"/>
        </w:rPr>
      </w:pPr>
    </w:p>
    <w:p w14:paraId="022EEAB0" w14:textId="05D04A12" w:rsidR="00F6344A" w:rsidRPr="004D1EB8" w:rsidRDefault="006A200B" w:rsidP="000C14C0">
      <w:pPr>
        <w:rPr>
          <w:b/>
          <w:bCs/>
          <w:szCs w:val="24"/>
          <w:u w:val="single"/>
        </w:rPr>
      </w:pPr>
      <w:r w:rsidRPr="004D1EB8">
        <w:rPr>
          <w:b/>
          <w:bCs/>
          <w:szCs w:val="24"/>
          <w:u w:val="single"/>
        </w:rPr>
        <w:t xml:space="preserve">Table </w:t>
      </w:r>
      <w:r w:rsidR="004D1EB8" w:rsidRPr="004D1EB8">
        <w:rPr>
          <w:b/>
          <w:bCs/>
          <w:szCs w:val="24"/>
          <w:u w:val="single"/>
        </w:rPr>
        <w:t>8</w:t>
      </w:r>
      <w:r w:rsidRPr="004D1EB8">
        <w:rPr>
          <w:b/>
          <w:bCs/>
          <w:szCs w:val="24"/>
          <w:u w:val="single"/>
        </w:rPr>
        <w:t xml:space="preserve">: </w:t>
      </w:r>
      <w:r w:rsidR="00F6344A" w:rsidRPr="004D1EB8">
        <w:rPr>
          <w:b/>
          <w:bCs/>
          <w:szCs w:val="24"/>
          <w:u w:val="single"/>
        </w:rPr>
        <w:t xml:space="preserve">People Services </w:t>
      </w:r>
      <w:r w:rsidR="00234E3A" w:rsidRPr="004D1EB8">
        <w:rPr>
          <w:b/>
          <w:bCs/>
          <w:szCs w:val="24"/>
          <w:u w:val="single"/>
        </w:rPr>
        <w:t>Forecast</w:t>
      </w:r>
      <w:r w:rsidR="00F6344A" w:rsidRPr="004D1EB8">
        <w:rPr>
          <w:b/>
          <w:bCs/>
          <w:szCs w:val="24"/>
          <w:u w:val="single"/>
        </w:rPr>
        <w:t xml:space="preserve"> </w:t>
      </w:r>
      <w:r w:rsidR="003065D6" w:rsidRPr="004D1EB8">
        <w:rPr>
          <w:b/>
          <w:bCs/>
          <w:szCs w:val="24"/>
          <w:u w:val="single"/>
        </w:rPr>
        <w:t>Outturn</w:t>
      </w:r>
      <w:r w:rsidR="00234E3A" w:rsidRPr="004D1EB8">
        <w:rPr>
          <w:b/>
          <w:bCs/>
          <w:szCs w:val="24"/>
          <w:u w:val="single"/>
        </w:rPr>
        <w:t xml:space="preserve"> Q1 </w:t>
      </w:r>
      <w:r w:rsidR="004D1EB8" w:rsidRPr="004D1EB8">
        <w:rPr>
          <w:b/>
          <w:bCs/>
          <w:szCs w:val="24"/>
          <w:u w:val="single"/>
        </w:rPr>
        <w:t>2023-24</w:t>
      </w:r>
    </w:p>
    <w:p w14:paraId="77C9411A" w14:textId="17D3E336" w:rsidR="00F6344A" w:rsidRDefault="00F6344A" w:rsidP="004D1EB8">
      <w:pPr>
        <w:pStyle w:val="ListParagraph"/>
        <w:ind w:left="0"/>
        <w:rPr>
          <w:rFonts w:cs="Arial"/>
          <w:bCs/>
          <w:color w:val="FF0000"/>
        </w:rPr>
      </w:pPr>
    </w:p>
    <w:p w14:paraId="13CC3ECC" w14:textId="3DB00D16" w:rsidR="004D1EB8" w:rsidRDefault="006C2716" w:rsidP="006C2716">
      <w:pPr>
        <w:pStyle w:val="ListParagraph"/>
        <w:ind w:left="0"/>
        <w:rPr>
          <w:rFonts w:cs="Arial"/>
          <w:bCs/>
          <w:color w:val="FF0000"/>
        </w:rPr>
      </w:pPr>
      <w:r w:rsidRPr="006C2716">
        <w:rPr>
          <w:noProof/>
        </w:rPr>
        <w:drawing>
          <wp:inline distT="0" distB="0" distL="0" distR="0" wp14:anchorId="513367FE" wp14:editId="23D8C353">
            <wp:extent cx="6203950" cy="354963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3449" cy="3555065"/>
                    </a:xfrm>
                    <a:prstGeom prst="rect">
                      <a:avLst/>
                    </a:prstGeom>
                    <a:noFill/>
                    <a:ln>
                      <a:noFill/>
                    </a:ln>
                  </pic:spPr>
                </pic:pic>
              </a:graphicData>
            </a:graphic>
          </wp:inline>
        </w:drawing>
      </w:r>
    </w:p>
    <w:p w14:paraId="7E7B1CCE" w14:textId="77777777" w:rsidR="004D1EB8" w:rsidRPr="00541017" w:rsidRDefault="004D1EB8" w:rsidP="00487CDB">
      <w:pPr>
        <w:pStyle w:val="ListParagraph"/>
        <w:ind w:left="460"/>
        <w:rPr>
          <w:rFonts w:cs="Arial"/>
          <w:bCs/>
          <w:color w:val="FF0000"/>
        </w:rPr>
      </w:pPr>
    </w:p>
    <w:p w14:paraId="45298AD1" w14:textId="491A928A" w:rsidR="00F51A83" w:rsidRPr="004D1EB8" w:rsidRDefault="00F51A83" w:rsidP="003A08EA">
      <w:pPr>
        <w:pStyle w:val="ListParagraph"/>
        <w:numPr>
          <w:ilvl w:val="0"/>
          <w:numId w:val="4"/>
        </w:numPr>
        <w:ind w:left="567" w:hanging="567"/>
        <w:jc w:val="both"/>
        <w:rPr>
          <w:rFonts w:cs="Arial"/>
          <w:bCs/>
        </w:rPr>
      </w:pPr>
      <w:r w:rsidRPr="004D1EB8">
        <w:rPr>
          <w:rFonts w:cs="Arial"/>
          <w:bCs/>
          <w:szCs w:val="24"/>
        </w:rPr>
        <w:t>As at Q1 the directorate is reporting a net overspend of £</w:t>
      </w:r>
      <w:r w:rsidR="00E52148">
        <w:rPr>
          <w:rFonts w:cs="Arial"/>
          <w:bCs/>
          <w:szCs w:val="24"/>
        </w:rPr>
        <w:t>4</w:t>
      </w:r>
      <w:r w:rsidR="004D1EB8" w:rsidRPr="004D1EB8">
        <w:rPr>
          <w:rFonts w:cs="Arial"/>
          <w:bCs/>
          <w:szCs w:val="24"/>
        </w:rPr>
        <w:t>.</w:t>
      </w:r>
      <w:r w:rsidR="00E52148">
        <w:rPr>
          <w:rFonts w:cs="Arial"/>
          <w:bCs/>
          <w:szCs w:val="24"/>
        </w:rPr>
        <w:t>480</w:t>
      </w:r>
      <w:r w:rsidR="004D1EB8" w:rsidRPr="004D1EB8">
        <w:rPr>
          <w:rFonts w:cs="Arial"/>
          <w:bCs/>
          <w:szCs w:val="24"/>
        </w:rPr>
        <w:t>m</w:t>
      </w:r>
      <w:r w:rsidRPr="004D1EB8">
        <w:rPr>
          <w:rFonts w:cs="Arial"/>
          <w:bCs/>
          <w:szCs w:val="24"/>
        </w:rPr>
        <w:t xml:space="preserve"> after </w:t>
      </w:r>
      <w:r w:rsidR="00D46FF4" w:rsidRPr="004D1EB8">
        <w:rPr>
          <w:rFonts w:cs="Arial"/>
          <w:bCs/>
          <w:szCs w:val="24"/>
        </w:rPr>
        <w:t>drawing</w:t>
      </w:r>
      <w:r w:rsidRPr="004D1EB8">
        <w:rPr>
          <w:rFonts w:cs="Arial"/>
          <w:bCs/>
          <w:szCs w:val="24"/>
        </w:rPr>
        <w:t xml:space="preserve"> down </w:t>
      </w:r>
      <w:r w:rsidR="00AD7DCA">
        <w:rPr>
          <w:rFonts w:cs="Arial"/>
          <w:bCs/>
          <w:szCs w:val="24"/>
        </w:rPr>
        <w:t xml:space="preserve">£4.715m </w:t>
      </w:r>
      <w:r w:rsidRPr="004D1EB8">
        <w:rPr>
          <w:rFonts w:cs="Arial"/>
          <w:bCs/>
          <w:szCs w:val="24"/>
        </w:rPr>
        <w:t>from reserves</w:t>
      </w:r>
    </w:p>
    <w:p w14:paraId="7447A1B5" w14:textId="77777777" w:rsidR="004D1EB8" w:rsidRPr="004D1EB8" w:rsidRDefault="004D1EB8" w:rsidP="004D1EB8">
      <w:pPr>
        <w:pStyle w:val="ListParagraph"/>
        <w:ind w:left="567"/>
        <w:jc w:val="both"/>
        <w:rPr>
          <w:rFonts w:cs="Arial"/>
          <w:bCs/>
        </w:rPr>
      </w:pPr>
    </w:p>
    <w:p w14:paraId="12A234AD" w14:textId="362F2627" w:rsidR="00F51A83" w:rsidRPr="004D1EB8" w:rsidRDefault="00F51A83" w:rsidP="00F51A83">
      <w:pPr>
        <w:pStyle w:val="ListParagraph"/>
        <w:numPr>
          <w:ilvl w:val="0"/>
          <w:numId w:val="4"/>
        </w:numPr>
        <w:ind w:left="567" w:hanging="567"/>
        <w:jc w:val="both"/>
        <w:rPr>
          <w:rFonts w:cs="Arial"/>
          <w:bCs/>
        </w:rPr>
      </w:pPr>
      <w:r w:rsidRPr="004D1EB8">
        <w:rPr>
          <w:rFonts w:cs="Arial"/>
          <w:bCs/>
        </w:rPr>
        <w:t xml:space="preserve">The reserve movements are shown in Table </w:t>
      </w:r>
      <w:r w:rsidR="004D1EB8" w:rsidRPr="004D1EB8">
        <w:rPr>
          <w:rFonts w:cs="Arial"/>
          <w:bCs/>
        </w:rPr>
        <w:t>9</w:t>
      </w:r>
      <w:r w:rsidRPr="004D1EB8">
        <w:rPr>
          <w:rFonts w:cs="Arial"/>
          <w:bCs/>
        </w:rPr>
        <w:t xml:space="preserve"> </w:t>
      </w:r>
    </w:p>
    <w:p w14:paraId="0D7BD9A3" w14:textId="77777777" w:rsidR="003A742D" w:rsidRPr="004D1EB8" w:rsidRDefault="003A742D" w:rsidP="00F51A83">
      <w:pPr>
        <w:jc w:val="both"/>
        <w:rPr>
          <w:rFonts w:cs="Arial"/>
          <w:b/>
          <w:bCs/>
          <w:szCs w:val="24"/>
          <w:u w:val="single"/>
        </w:rPr>
      </w:pPr>
    </w:p>
    <w:p w14:paraId="630785A8" w14:textId="0B9F6B12" w:rsidR="00F51A83" w:rsidRPr="004D1EB8" w:rsidRDefault="00F51A83" w:rsidP="00F51A83">
      <w:pPr>
        <w:jc w:val="both"/>
        <w:rPr>
          <w:rFonts w:cs="Arial"/>
          <w:b/>
          <w:bCs/>
          <w:szCs w:val="24"/>
          <w:u w:val="single"/>
        </w:rPr>
      </w:pPr>
      <w:r w:rsidRPr="004D1EB8">
        <w:rPr>
          <w:rFonts w:cs="Arial"/>
          <w:b/>
          <w:bCs/>
          <w:szCs w:val="24"/>
          <w:u w:val="single"/>
        </w:rPr>
        <w:t xml:space="preserve">Table </w:t>
      </w:r>
      <w:r w:rsidR="004D1EB8" w:rsidRPr="004D1EB8">
        <w:rPr>
          <w:rFonts w:cs="Arial"/>
          <w:b/>
          <w:bCs/>
          <w:szCs w:val="24"/>
          <w:u w:val="single"/>
        </w:rPr>
        <w:t>9</w:t>
      </w:r>
      <w:r w:rsidRPr="004D1EB8">
        <w:rPr>
          <w:rFonts w:cs="Arial"/>
          <w:b/>
          <w:bCs/>
          <w:szCs w:val="24"/>
          <w:u w:val="single"/>
        </w:rPr>
        <w:t>: People Services Reserve Movements 20</w:t>
      </w:r>
      <w:r w:rsidR="004D1EB8" w:rsidRPr="004D1EB8">
        <w:rPr>
          <w:rFonts w:cs="Arial"/>
          <w:b/>
          <w:bCs/>
          <w:szCs w:val="24"/>
          <w:u w:val="single"/>
        </w:rPr>
        <w:t>23-24</w:t>
      </w:r>
    </w:p>
    <w:p w14:paraId="329F6D73" w14:textId="77777777" w:rsidR="00F51A83" w:rsidRPr="00541017" w:rsidRDefault="00F51A83" w:rsidP="00F51A83">
      <w:pPr>
        <w:jc w:val="both"/>
        <w:rPr>
          <w:rFonts w:cs="Arial"/>
          <w:b/>
          <w:bCs/>
          <w:color w:val="FF0000"/>
          <w:szCs w:val="24"/>
          <w:u w:val="single"/>
        </w:rPr>
      </w:pPr>
    </w:p>
    <w:tbl>
      <w:tblPr>
        <w:tblStyle w:val="TableGrid"/>
        <w:tblW w:w="0" w:type="auto"/>
        <w:tblLook w:val="04A0" w:firstRow="1" w:lastRow="0" w:firstColumn="1" w:lastColumn="0" w:noHBand="0" w:noVBand="1"/>
      </w:tblPr>
      <w:tblGrid>
        <w:gridCol w:w="6786"/>
        <w:gridCol w:w="2233"/>
      </w:tblGrid>
      <w:tr w:rsidR="004D1EB8" w:rsidRPr="004D1EB8" w14:paraId="2E33AD7B" w14:textId="77777777" w:rsidTr="00DC6F9D">
        <w:tc>
          <w:tcPr>
            <w:tcW w:w="6941" w:type="dxa"/>
          </w:tcPr>
          <w:p w14:paraId="4542BD8D" w14:textId="6C3FC30C" w:rsidR="00F51A83" w:rsidRPr="004D1EB8" w:rsidRDefault="00F51A83" w:rsidP="00F51A83">
            <w:pPr>
              <w:jc w:val="both"/>
              <w:rPr>
                <w:rFonts w:cs="Arial"/>
                <w:b/>
                <w:bCs/>
                <w:sz w:val="20"/>
              </w:rPr>
            </w:pPr>
            <w:r w:rsidRPr="004D1EB8">
              <w:rPr>
                <w:b/>
                <w:bCs/>
                <w:sz w:val="20"/>
              </w:rPr>
              <w:t xml:space="preserve">Description </w:t>
            </w:r>
          </w:p>
        </w:tc>
        <w:tc>
          <w:tcPr>
            <w:tcW w:w="2263" w:type="dxa"/>
          </w:tcPr>
          <w:p w14:paraId="2C6EB572" w14:textId="0BC58FE7" w:rsidR="00F51A83" w:rsidRPr="004D1EB8" w:rsidRDefault="00F51A83" w:rsidP="00F51A83">
            <w:pPr>
              <w:jc w:val="right"/>
              <w:rPr>
                <w:rFonts w:cs="Arial"/>
                <w:b/>
                <w:bCs/>
                <w:sz w:val="20"/>
              </w:rPr>
            </w:pPr>
            <w:r w:rsidRPr="004D1EB8">
              <w:rPr>
                <w:rFonts w:cs="Arial"/>
                <w:b/>
                <w:bCs/>
                <w:sz w:val="20"/>
              </w:rPr>
              <w:t>Movement £’000</w:t>
            </w:r>
          </w:p>
        </w:tc>
      </w:tr>
      <w:tr w:rsidR="004D1EB8" w:rsidRPr="004D1EB8" w14:paraId="766DDD5D" w14:textId="77777777" w:rsidTr="00DC6F9D">
        <w:tc>
          <w:tcPr>
            <w:tcW w:w="6941" w:type="dxa"/>
          </w:tcPr>
          <w:p w14:paraId="0F932413" w14:textId="0EE444B8" w:rsidR="00F51A83" w:rsidRPr="004D1EB8" w:rsidRDefault="004D1EB8" w:rsidP="00F51A83">
            <w:pPr>
              <w:jc w:val="both"/>
              <w:rPr>
                <w:rFonts w:cs="Arial"/>
                <w:sz w:val="20"/>
              </w:rPr>
            </w:pPr>
            <w:r w:rsidRPr="004D1EB8">
              <w:rPr>
                <w:rFonts w:cs="Arial"/>
                <w:sz w:val="20"/>
              </w:rPr>
              <w:t xml:space="preserve">Adults – People Services MTFS Implementation Reserve </w:t>
            </w:r>
          </w:p>
        </w:tc>
        <w:tc>
          <w:tcPr>
            <w:tcW w:w="2263" w:type="dxa"/>
          </w:tcPr>
          <w:p w14:paraId="1ADB9EF5" w14:textId="2B004272" w:rsidR="00F51A83" w:rsidRPr="004D1EB8" w:rsidRDefault="004D1EB8" w:rsidP="00F51A83">
            <w:pPr>
              <w:jc w:val="right"/>
              <w:rPr>
                <w:rFonts w:cs="Arial"/>
                <w:sz w:val="20"/>
              </w:rPr>
            </w:pPr>
            <w:r w:rsidRPr="004D1EB8">
              <w:rPr>
                <w:rFonts w:cs="Arial"/>
                <w:sz w:val="20"/>
              </w:rPr>
              <w:t>-1,179</w:t>
            </w:r>
          </w:p>
        </w:tc>
      </w:tr>
      <w:tr w:rsidR="004D1EB8" w:rsidRPr="004D1EB8" w14:paraId="41DF08B2" w14:textId="77777777" w:rsidTr="00DC6F9D">
        <w:tc>
          <w:tcPr>
            <w:tcW w:w="6941" w:type="dxa"/>
          </w:tcPr>
          <w:p w14:paraId="6FD23A1C" w14:textId="715238F1" w:rsidR="00F51A83" w:rsidRPr="004D1EB8" w:rsidRDefault="004D1EB8" w:rsidP="00F51A83">
            <w:pPr>
              <w:jc w:val="both"/>
              <w:rPr>
                <w:rFonts w:cs="Arial"/>
                <w:sz w:val="20"/>
              </w:rPr>
            </w:pPr>
            <w:r w:rsidRPr="004D1EB8">
              <w:rPr>
                <w:rFonts w:cs="Arial"/>
                <w:sz w:val="20"/>
              </w:rPr>
              <w:t>Adults – Budget Planning Reserve</w:t>
            </w:r>
          </w:p>
        </w:tc>
        <w:tc>
          <w:tcPr>
            <w:tcW w:w="2263" w:type="dxa"/>
          </w:tcPr>
          <w:p w14:paraId="6F0C31CA" w14:textId="23258B1F" w:rsidR="00F51A83" w:rsidRPr="004D1EB8" w:rsidRDefault="004D1EB8" w:rsidP="00F51A83">
            <w:pPr>
              <w:jc w:val="right"/>
              <w:rPr>
                <w:rFonts w:cs="Arial"/>
                <w:sz w:val="20"/>
              </w:rPr>
            </w:pPr>
            <w:r w:rsidRPr="004D1EB8">
              <w:rPr>
                <w:rFonts w:cs="Arial"/>
                <w:sz w:val="20"/>
              </w:rPr>
              <w:t>-2,000</w:t>
            </w:r>
          </w:p>
        </w:tc>
      </w:tr>
      <w:tr w:rsidR="004D1EB8" w:rsidRPr="004D1EB8" w14:paraId="7A9CD7A7" w14:textId="77777777" w:rsidTr="001D2472">
        <w:tc>
          <w:tcPr>
            <w:tcW w:w="6941" w:type="dxa"/>
            <w:vAlign w:val="center"/>
          </w:tcPr>
          <w:p w14:paraId="245D6750" w14:textId="1053AF2F" w:rsidR="00F51A83" w:rsidRPr="004D1EB8" w:rsidRDefault="004D1EB8" w:rsidP="00F51A83">
            <w:pPr>
              <w:jc w:val="both"/>
              <w:rPr>
                <w:rFonts w:cs="Arial"/>
                <w:sz w:val="20"/>
              </w:rPr>
            </w:pPr>
            <w:r w:rsidRPr="004D1EB8">
              <w:rPr>
                <w:rFonts w:cs="Arial"/>
                <w:sz w:val="20"/>
              </w:rPr>
              <w:t>Public Health Reserve</w:t>
            </w:r>
          </w:p>
        </w:tc>
        <w:tc>
          <w:tcPr>
            <w:tcW w:w="2263" w:type="dxa"/>
          </w:tcPr>
          <w:p w14:paraId="2E5128F4" w14:textId="2824AA8D" w:rsidR="00F51A83" w:rsidRPr="004D1EB8" w:rsidRDefault="004D1EB8" w:rsidP="00F51A83">
            <w:pPr>
              <w:jc w:val="right"/>
              <w:rPr>
                <w:rFonts w:cs="Arial"/>
                <w:sz w:val="20"/>
              </w:rPr>
            </w:pPr>
            <w:r w:rsidRPr="004D1EB8">
              <w:rPr>
                <w:rFonts w:cs="Arial"/>
                <w:sz w:val="20"/>
              </w:rPr>
              <w:t>-377</w:t>
            </w:r>
          </w:p>
        </w:tc>
      </w:tr>
      <w:tr w:rsidR="004D1EB8" w:rsidRPr="004D1EB8" w14:paraId="5B56E77C" w14:textId="77777777" w:rsidTr="001D2472">
        <w:tc>
          <w:tcPr>
            <w:tcW w:w="6941" w:type="dxa"/>
            <w:vAlign w:val="center"/>
          </w:tcPr>
          <w:p w14:paraId="6E0A18A7" w14:textId="14409027" w:rsidR="00F51A83" w:rsidRPr="004D1EB8" w:rsidRDefault="004D1EB8" w:rsidP="00F51A83">
            <w:pPr>
              <w:jc w:val="both"/>
              <w:rPr>
                <w:rFonts w:cs="Arial"/>
                <w:sz w:val="20"/>
              </w:rPr>
            </w:pPr>
            <w:r w:rsidRPr="004D1EB8">
              <w:rPr>
                <w:rFonts w:cs="Arial"/>
                <w:sz w:val="20"/>
              </w:rPr>
              <w:t>Children’s – Children’s Social Care Reserve</w:t>
            </w:r>
          </w:p>
        </w:tc>
        <w:tc>
          <w:tcPr>
            <w:tcW w:w="2263" w:type="dxa"/>
          </w:tcPr>
          <w:p w14:paraId="1460A998" w14:textId="73B5F6AE" w:rsidR="00F51A83" w:rsidRPr="004D1EB8" w:rsidRDefault="004D1EB8" w:rsidP="00F51A83">
            <w:pPr>
              <w:jc w:val="right"/>
              <w:rPr>
                <w:rFonts w:cs="Arial"/>
                <w:sz w:val="20"/>
              </w:rPr>
            </w:pPr>
            <w:r w:rsidRPr="004D1EB8">
              <w:rPr>
                <w:rFonts w:cs="Arial"/>
                <w:sz w:val="20"/>
              </w:rPr>
              <w:t>-408</w:t>
            </w:r>
          </w:p>
        </w:tc>
      </w:tr>
      <w:tr w:rsidR="004D1EB8" w:rsidRPr="004D1EB8" w14:paraId="0C593F2B" w14:textId="77777777" w:rsidTr="00DC6F9D">
        <w:tc>
          <w:tcPr>
            <w:tcW w:w="6941" w:type="dxa"/>
          </w:tcPr>
          <w:p w14:paraId="2FFB73E3" w14:textId="31816EDD" w:rsidR="00F51A83" w:rsidRPr="004D1EB8" w:rsidRDefault="004D1EB8" w:rsidP="00F51A83">
            <w:pPr>
              <w:jc w:val="both"/>
              <w:rPr>
                <w:rFonts w:cs="Arial"/>
                <w:sz w:val="20"/>
              </w:rPr>
            </w:pPr>
            <w:r w:rsidRPr="004D1EB8">
              <w:rPr>
                <w:rFonts w:cs="Arial"/>
                <w:sz w:val="20"/>
              </w:rPr>
              <w:t>Children’s – Schools PFI Reserve</w:t>
            </w:r>
          </w:p>
        </w:tc>
        <w:tc>
          <w:tcPr>
            <w:tcW w:w="2263" w:type="dxa"/>
          </w:tcPr>
          <w:p w14:paraId="5C999E42" w14:textId="1323FD7B" w:rsidR="00F51A83" w:rsidRPr="004D1EB8" w:rsidRDefault="004D1EB8" w:rsidP="00F51A83">
            <w:pPr>
              <w:jc w:val="right"/>
              <w:rPr>
                <w:rFonts w:cs="Arial"/>
                <w:sz w:val="20"/>
              </w:rPr>
            </w:pPr>
            <w:r w:rsidRPr="004D1EB8">
              <w:rPr>
                <w:rFonts w:cs="Arial"/>
                <w:sz w:val="20"/>
              </w:rPr>
              <w:t>-655</w:t>
            </w:r>
          </w:p>
        </w:tc>
      </w:tr>
      <w:tr w:rsidR="004D1EB8" w:rsidRPr="004D1EB8" w14:paraId="3CF790B1" w14:textId="77777777" w:rsidTr="00F51A83">
        <w:trPr>
          <w:trHeight w:val="40"/>
        </w:trPr>
        <w:tc>
          <w:tcPr>
            <w:tcW w:w="6941" w:type="dxa"/>
          </w:tcPr>
          <w:p w14:paraId="56D90B65" w14:textId="57578ED3" w:rsidR="00F51A83" w:rsidRPr="004D1EB8" w:rsidRDefault="004D1EB8" w:rsidP="00F51A83">
            <w:pPr>
              <w:jc w:val="both"/>
              <w:rPr>
                <w:rFonts w:cs="Arial"/>
                <w:sz w:val="20"/>
              </w:rPr>
            </w:pPr>
            <w:r w:rsidRPr="004D1EB8">
              <w:rPr>
                <w:rFonts w:cs="Arial"/>
                <w:sz w:val="20"/>
              </w:rPr>
              <w:t>Children’s – Revenue Grant Reserve</w:t>
            </w:r>
          </w:p>
        </w:tc>
        <w:tc>
          <w:tcPr>
            <w:tcW w:w="2263" w:type="dxa"/>
          </w:tcPr>
          <w:p w14:paraId="5F96F310" w14:textId="3A129ADE" w:rsidR="00F51A83" w:rsidRPr="004D1EB8" w:rsidRDefault="004D1EB8" w:rsidP="00F51A83">
            <w:pPr>
              <w:jc w:val="right"/>
              <w:rPr>
                <w:rFonts w:cs="Arial"/>
                <w:sz w:val="20"/>
              </w:rPr>
            </w:pPr>
            <w:r w:rsidRPr="004D1EB8">
              <w:rPr>
                <w:rFonts w:cs="Arial"/>
                <w:sz w:val="20"/>
              </w:rPr>
              <w:t>-97</w:t>
            </w:r>
          </w:p>
        </w:tc>
      </w:tr>
      <w:tr w:rsidR="004D1EB8" w:rsidRPr="004D1EB8" w14:paraId="71CC5008" w14:textId="77777777" w:rsidTr="00DC6F9D">
        <w:tc>
          <w:tcPr>
            <w:tcW w:w="6941" w:type="dxa"/>
          </w:tcPr>
          <w:p w14:paraId="0076B504" w14:textId="5BC9CF88" w:rsidR="00F51A83" w:rsidRPr="004D1EB8" w:rsidRDefault="00F51A83" w:rsidP="00F51A83">
            <w:pPr>
              <w:jc w:val="both"/>
              <w:rPr>
                <w:rFonts w:cs="Arial"/>
                <w:b/>
                <w:bCs/>
                <w:sz w:val="20"/>
              </w:rPr>
            </w:pPr>
            <w:r w:rsidRPr="004D1EB8">
              <w:rPr>
                <w:b/>
                <w:bCs/>
                <w:sz w:val="20"/>
              </w:rPr>
              <w:t>People Services net draw down</w:t>
            </w:r>
          </w:p>
        </w:tc>
        <w:tc>
          <w:tcPr>
            <w:tcW w:w="2263" w:type="dxa"/>
          </w:tcPr>
          <w:p w14:paraId="650AFE58" w14:textId="19DF4084" w:rsidR="00F51A83" w:rsidRPr="004D1EB8" w:rsidRDefault="00F51A83" w:rsidP="00F51A83">
            <w:pPr>
              <w:jc w:val="right"/>
              <w:rPr>
                <w:rFonts w:cs="Arial"/>
                <w:b/>
                <w:bCs/>
                <w:sz w:val="20"/>
              </w:rPr>
            </w:pPr>
            <w:r w:rsidRPr="004D1EB8">
              <w:rPr>
                <w:b/>
                <w:bCs/>
                <w:sz w:val="20"/>
              </w:rPr>
              <w:t>-</w:t>
            </w:r>
            <w:r w:rsidR="004D1EB8" w:rsidRPr="004D1EB8">
              <w:rPr>
                <w:b/>
                <w:bCs/>
                <w:sz w:val="20"/>
              </w:rPr>
              <w:t>4,715</w:t>
            </w:r>
          </w:p>
        </w:tc>
      </w:tr>
    </w:tbl>
    <w:p w14:paraId="1D4396B4" w14:textId="77777777" w:rsidR="00F51A83" w:rsidRPr="004D1EB8" w:rsidRDefault="00F51A83" w:rsidP="00F51A83">
      <w:pPr>
        <w:jc w:val="both"/>
        <w:rPr>
          <w:rFonts w:cs="Arial"/>
          <w:bCs/>
        </w:rPr>
      </w:pPr>
    </w:p>
    <w:p w14:paraId="45D98BC4" w14:textId="5222D49E" w:rsidR="00157B60" w:rsidRPr="004D1EB8" w:rsidRDefault="00F678AF" w:rsidP="00AF06B3">
      <w:pPr>
        <w:pStyle w:val="ListParagraph"/>
        <w:numPr>
          <w:ilvl w:val="0"/>
          <w:numId w:val="4"/>
        </w:numPr>
        <w:ind w:left="460" w:hanging="567"/>
        <w:jc w:val="both"/>
        <w:rPr>
          <w:rFonts w:cs="Arial"/>
          <w:bCs/>
        </w:rPr>
      </w:pPr>
      <w:r w:rsidRPr="004D1EB8">
        <w:rPr>
          <w:szCs w:val="24"/>
        </w:rPr>
        <w:lastRenderedPageBreak/>
        <w:t xml:space="preserve">The </w:t>
      </w:r>
      <w:r w:rsidR="00817D33" w:rsidRPr="004D1EB8">
        <w:rPr>
          <w:rFonts w:cs="Arial"/>
          <w:bCs/>
        </w:rPr>
        <w:t xml:space="preserve">variations are </w:t>
      </w:r>
      <w:r w:rsidR="00161FB7" w:rsidRPr="004D1EB8">
        <w:rPr>
          <w:rFonts w:cs="Arial"/>
          <w:bCs/>
        </w:rPr>
        <w:t xml:space="preserve">explained in more detail </w:t>
      </w:r>
      <w:r w:rsidR="006E61F6" w:rsidRPr="004D1EB8">
        <w:rPr>
          <w:rFonts w:cs="Arial"/>
          <w:bCs/>
        </w:rPr>
        <w:t>at the following paragraphs.</w:t>
      </w:r>
    </w:p>
    <w:p w14:paraId="6808BB7E" w14:textId="24ECB3AD" w:rsidR="00157B60" w:rsidRPr="004D1EB8" w:rsidRDefault="00157B60" w:rsidP="00157B60">
      <w:pPr>
        <w:jc w:val="both"/>
        <w:rPr>
          <w:rFonts w:cs="Arial"/>
          <w:bCs/>
        </w:rPr>
      </w:pPr>
    </w:p>
    <w:p w14:paraId="27B5BE1A" w14:textId="124C17F8" w:rsidR="00157B60" w:rsidRPr="004D1EB8" w:rsidRDefault="00157B60" w:rsidP="00157B60">
      <w:pPr>
        <w:jc w:val="both"/>
        <w:rPr>
          <w:rFonts w:cs="Arial"/>
          <w:b/>
        </w:rPr>
      </w:pPr>
      <w:r w:rsidRPr="004D1EB8">
        <w:rPr>
          <w:rFonts w:cs="Arial"/>
          <w:b/>
        </w:rPr>
        <w:t>Adult Services</w:t>
      </w:r>
    </w:p>
    <w:p w14:paraId="0987F2CF" w14:textId="77777777" w:rsidR="00157B60" w:rsidRPr="004D1EB8" w:rsidRDefault="00157B60" w:rsidP="00157B60">
      <w:pPr>
        <w:jc w:val="both"/>
        <w:rPr>
          <w:rFonts w:cs="Arial"/>
          <w:bCs/>
        </w:rPr>
      </w:pPr>
    </w:p>
    <w:p w14:paraId="11119567" w14:textId="0D3F3B25" w:rsidR="002B67CC" w:rsidRPr="004D1EB8" w:rsidRDefault="00B60857" w:rsidP="00B16C76">
      <w:pPr>
        <w:pStyle w:val="ListParagraph"/>
        <w:numPr>
          <w:ilvl w:val="0"/>
          <w:numId w:val="4"/>
        </w:numPr>
        <w:ind w:left="460" w:hanging="567"/>
        <w:jc w:val="both"/>
        <w:rPr>
          <w:rFonts w:cs="Arial"/>
          <w:bCs/>
        </w:rPr>
      </w:pPr>
      <w:bookmarkStart w:id="4" w:name="_Hlk48752687"/>
      <w:r w:rsidRPr="004D1EB8">
        <w:rPr>
          <w:rFonts w:cstheme="minorHAnsi"/>
        </w:rPr>
        <w:t>As at Q1 the service is reporting a net o</w:t>
      </w:r>
      <w:r w:rsidR="002B67CC" w:rsidRPr="004D1EB8">
        <w:rPr>
          <w:rFonts w:cstheme="minorHAnsi"/>
        </w:rPr>
        <w:t>verspend of £</w:t>
      </w:r>
      <w:r w:rsidR="00A12860">
        <w:rPr>
          <w:rFonts w:cstheme="minorHAnsi"/>
        </w:rPr>
        <w:t>4.480</w:t>
      </w:r>
      <w:r w:rsidR="004D1EB8" w:rsidRPr="004D1EB8">
        <w:rPr>
          <w:rFonts w:cstheme="minorHAnsi"/>
        </w:rPr>
        <w:t xml:space="preserve">m after drawdown from reserves of </w:t>
      </w:r>
      <w:r w:rsidR="00AD7DCA">
        <w:rPr>
          <w:rFonts w:cstheme="minorHAnsi"/>
        </w:rPr>
        <w:t>£</w:t>
      </w:r>
      <w:r w:rsidR="004D1EB8" w:rsidRPr="004D1EB8">
        <w:rPr>
          <w:rFonts w:cstheme="minorHAnsi"/>
        </w:rPr>
        <w:t>3.178m.</w:t>
      </w:r>
      <w:r w:rsidR="00777AE6">
        <w:rPr>
          <w:rFonts w:cstheme="minorHAnsi"/>
        </w:rPr>
        <w:t xml:space="preserve">  </w:t>
      </w:r>
    </w:p>
    <w:p w14:paraId="74F098D8" w14:textId="77777777" w:rsidR="004D1EB8" w:rsidRPr="004D1EB8" w:rsidRDefault="004D1EB8" w:rsidP="004D1EB8">
      <w:pPr>
        <w:pStyle w:val="ListParagraph"/>
        <w:ind w:left="460"/>
        <w:jc w:val="both"/>
        <w:rPr>
          <w:rFonts w:cs="Arial"/>
          <w:bCs/>
          <w:color w:val="FF0000"/>
        </w:rPr>
      </w:pPr>
    </w:p>
    <w:p w14:paraId="53BF1B93" w14:textId="72027BAE" w:rsidR="00C120FB" w:rsidRPr="00C120FB" w:rsidRDefault="00C120FB" w:rsidP="00AF06B3">
      <w:pPr>
        <w:pStyle w:val="ListParagraph"/>
        <w:numPr>
          <w:ilvl w:val="0"/>
          <w:numId w:val="4"/>
        </w:numPr>
        <w:ind w:left="460" w:hanging="567"/>
        <w:jc w:val="both"/>
        <w:rPr>
          <w:rFonts w:cs="Arial"/>
          <w:bCs/>
        </w:rPr>
      </w:pPr>
      <w:r w:rsidRPr="00C120FB">
        <w:rPr>
          <w:rFonts w:cs="Arial"/>
          <w:b/>
        </w:rPr>
        <w:t>Staffing</w:t>
      </w:r>
      <w:r>
        <w:rPr>
          <w:rFonts w:cs="Arial"/>
          <w:bCs/>
        </w:rPr>
        <w:t xml:space="preserve"> – a balanced position after the draw down of £1.178m from the implementation reserves, reflecting costs associated with delivery of the MTFS savings. </w:t>
      </w:r>
      <w:r w:rsidR="002E63DA">
        <w:rPr>
          <w:rFonts w:cs="Arial"/>
          <w:bCs/>
        </w:rPr>
        <w:t>The MTFS savings are expected to be achieved in full, albeit a shortfall of approximately £130k will be mitigated through vacancies.</w:t>
      </w:r>
    </w:p>
    <w:p w14:paraId="6591B230" w14:textId="77777777" w:rsidR="00C120FB" w:rsidRPr="00C120FB" w:rsidRDefault="00C120FB" w:rsidP="00C120FB">
      <w:pPr>
        <w:pStyle w:val="ListParagraph"/>
        <w:rPr>
          <w:rFonts w:cstheme="minorHAnsi"/>
          <w:b/>
          <w:bCs/>
        </w:rPr>
      </w:pPr>
    </w:p>
    <w:p w14:paraId="1E540DFA" w14:textId="32DCD7F5" w:rsidR="002B67CC" w:rsidRPr="00CC2B6B" w:rsidRDefault="008F135F" w:rsidP="00AF06B3">
      <w:pPr>
        <w:pStyle w:val="ListParagraph"/>
        <w:numPr>
          <w:ilvl w:val="0"/>
          <w:numId w:val="4"/>
        </w:numPr>
        <w:ind w:left="460" w:hanging="567"/>
        <w:jc w:val="both"/>
        <w:rPr>
          <w:rFonts w:cs="Arial"/>
          <w:bCs/>
        </w:rPr>
      </w:pPr>
      <w:r w:rsidRPr="00CC2B6B">
        <w:rPr>
          <w:rFonts w:cstheme="minorHAnsi"/>
          <w:b/>
          <w:bCs/>
        </w:rPr>
        <w:t>Equipment</w:t>
      </w:r>
      <w:r w:rsidR="00B60857" w:rsidRPr="00CC2B6B">
        <w:rPr>
          <w:rFonts w:cstheme="minorHAnsi"/>
        </w:rPr>
        <w:t xml:space="preserve"> - £</w:t>
      </w:r>
      <w:r w:rsidRPr="00CC2B6B">
        <w:rPr>
          <w:rFonts w:cstheme="minorHAnsi"/>
        </w:rPr>
        <w:t>400k</w:t>
      </w:r>
      <w:r w:rsidR="00B60857" w:rsidRPr="00CC2B6B">
        <w:rPr>
          <w:rFonts w:cstheme="minorHAnsi"/>
        </w:rPr>
        <w:t xml:space="preserve"> overspen</w:t>
      </w:r>
      <w:r w:rsidRPr="00CC2B6B">
        <w:rPr>
          <w:rFonts w:cstheme="minorHAnsi"/>
        </w:rPr>
        <w:t>d based on forecast split of costs for all equipment</w:t>
      </w:r>
      <w:r w:rsidR="00AD7DCA">
        <w:rPr>
          <w:rFonts w:cstheme="minorHAnsi"/>
        </w:rPr>
        <w:t xml:space="preserve"> which will be </w:t>
      </w:r>
      <w:r w:rsidRPr="00CC2B6B">
        <w:rPr>
          <w:rFonts w:cstheme="minorHAnsi"/>
        </w:rPr>
        <w:t>45%</w:t>
      </w:r>
      <w:r w:rsidR="00AD7DCA">
        <w:rPr>
          <w:rFonts w:cstheme="minorHAnsi"/>
        </w:rPr>
        <w:t xml:space="preserve"> for Harrow </w:t>
      </w:r>
      <w:r w:rsidRPr="00CC2B6B">
        <w:rPr>
          <w:rFonts w:cstheme="minorHAnsi"/>
        </w:rPr>
        <w:t xml:space="preserve"> </w:t>
      </w:r>
      <w:r w:rsidR="00AD7DCA">
        <w:rPr>
          <w:rFonts w:cstheme="minorHAnsi"/>
        </w:rPr>
        <w:t>Council</w:t>
      </w:r>
      <w:r w:rsidRPr="00CC2B6B">
        <w:rPr>
          <w:rFonts w:cstheme="minorHAnsi"/>
        </w:rPr>
        <w:t xml:space="preserve"> and 55% I</w:t>
      </w:r>
      <w:r w:rsidR="007120F7">
        <w:rPr>
          <w:rFonts w:cstheme="minorHAnsi"/>
        </w:rPr>
        <w:t xml:space="preserve">ntegrated </w:t>
      </w:r>
      <w:r w:rsidRPr="00CC2B6B">
        <w:rPr>
          <w:rFonts w:cstheme="minorHAnsi"/>
        </w:rPr>
        <w:t>C</w:t>
      </w:r>
      <w:r w:rsidR="007120F7">
        <w:rPr>
          <w:rFonts w:cstheme="minorHAnsi"/>
        </w:rPr>
        <w:t xml:space="preserve">are </w:t>
      </w:r>
      <w:r w:rsidRPr="00CC2B6B">
        <w:rPr>
          <w:rFonts w:cstheme="minorHAnsi"/>
        </w:rPr>
        <w:t>B</w:t>
      </w:r>
      <w:r w:rsidR="007120F7">
        <w:rPr>
          <w:rFonts w:cstheme="minorHAnsi"/>
        </w:rPr>
        <w:t>oard (ICB)</w:t>
      </w:r>
      <w:r w:rsidR="00AD7DCA">
        <w:rPr>
          <w:rFonts w:cstheme="minorHAnsi"/>
        </w:rPr>
        <w:t xml:space="preserve"> which is</w:t>
      </w:r>
      <w:r w:rsidRPr="00CC2B6B">
        <w:rPr>
          <w:rFonts w:cstheme="minorHAnsi"/>
        </w:rPr>
        <w:t xml:space="preserve"> based on </w:t>
      </w:r>
      <w:r w:rsidR="00AD7DCA">
        <w:rPr>
          <w:rFonts w:cstheme="minorHAnsi"/>
        </w:rPr>
        <w:t xml:space="preserve">the actual </w:t>
      </w:r>
      <w:r w:rsidRPr="00CC2B6B">
        <w:rPr>
          <w:rFonts w:cstheme="minorHAnsi"/>
        </w:rPr>
        <w:t>April invoice and last year’s monthly average costs</w:t>
      </w:r>
      <w:r w:rsidR="00777AE6">
        <w:rPr>
          <w:rFonts w:cstheme="minorHAnsi"/>
        </w:rPr>
        <w:t xml:space="preserve">.  </w:t>
      </w:r>
    </w:p>
    <w:p w14:paraId="24289B56" w14:textId="77777777" w:rsidR="008F135F" w:rsidRPr="00CC2B6B" w:rsidRDefault="008F135F" w:rsidP="008F135F">
      <w:pPr>
        <w:pStyle w:val="ListParagraph"/>
        <w:rPr>
          <w:rFonts w:cs="Arial"/>
          <w:bCs/>
        </w:rPr>
      </w:pPr>
    </w:p>
    <w:p w14:paraId="5C9E6D35" w14:textId="6C2B170C" w:rsidR="00221909" w:rsidRDefault="00221909" w:rsidP="00221909">
      <w:pPr>
        <w:pStyle w:val="ListParagraph"/>
        <w:numPr>
          <w:ilvl w:val="0"/>
          <w:numId w:val="4"/>
        </w:numPr>
        <w:ind w:left="460" w:hanging="567"/>
        <w:jc w:val="both"/>
        <w:rPr>
          <w:rFonts w:cs="Arial"/>
        </w:rPr>
      </w:pPr>
      <w:r>
        <w:rPr>
          <w:rFonts w:cs="Arial"/>
          <w:b/>
          <w:bCs/>
        </w:rPr>
        <w:t>Mental Health</w:t>
      </w:r>
      <w:r w:rsidRPr="0089041C">
        <w:rPr>
          <w:rFonts w:cs="Arial"/>
        </w:rPr>
        <w:t xml:space="preserve"> - £</w:t>
      </w:r>
      <w:r>
        <w:rPr>
          <w:rFonts w:cs="Arial"/>
        </w:rPr>
        <w:t>152k</w:t>
      </w:r>
      <w:r w:rsidRPr="0089041C">
        <w:rPr>
          <w:rFonts w:cs="Arial"/>
        </w:rPr>
        <w:t xml:space="preserve"> overspend. </w:t>
      </w:r>
      <w:r>
        <w:rPr>
          <w:rFonts w:cs="Arial"/>
        </w:rPr>
        <w:t>This is the latest forecast position provided by C</w:t>
      </w:r>
      <w:r w:rsidR="00851759">
        <w:rPr>
          <w:rFonts w:cs="Arial"/>
        </w:rPr>
        <w:t xml:space="preserve">entral </w:t>
      </w:r>
      <w:r>
        <w:rPr>
          <w:rFonts w:cs="Arial"/>
        </w:rPr>
        <w:t>N</w:t>
      </w:r>
      <w:r w:rsidR="00851759">
        <w:rPr>
          <w:rFonts w:cs="Arial"/>
        </w:rPr>
        <w:t xml:space="preserve">orth </w:t>
      </w:r>
      <w:r>
        <w:rPr>
          <w:rFonts w:cs="Arial"/>
        </w:rPr>
        <w:t>W</w:t>
      </w:r>
      <w:r w:rsidR="00851759">
        <w:rPr>
          <w:rFonts w:cs="Arial"/>
        </w:rPr>
        <w:t xml:space="preserve">est </w:t>
      </w:r>
      <w:r>
        <w:rPr>
          <w:rFonts w:cs="Arial"/>
        </w:rPr>
        <w:t>L</w:t>
      </w:r>
      <w:r w:rsidR="00851759">
        <w:rPr>
          <w:rFonts w:cs="Arial"/>
        </w:rPr>
        <w:t>ondon (CNWL)</w:t>
      </w:r>
      <w:r>
        <w:rPr>
          <w:rFonts w:cs="Arial"/>
        </w:rPr>
        <w:t xml:space="preserve"> </w:t>
      </w:r>
      <w:r w:rsidR="00DD1D8B">
        <w:rPr>
          <w:rFonts w:cs="Arial"/>
        </w:rPr>
        <w:t xml:space="preserve">which assumes </w:t>
      </w:r>
      <w:r>
        <w:rPr>
          <w:rFonts w:cs="Arial"/>
        </w:rPr>
        <w:t>new care packages of £132k.</w:t>
      </w:r>
      <w:r w:rsidR="0070650C">
        <w:rPr>
          <w:rFonts w:cs="Arial"/>
        </w:rPr>
        <w:t xml:space="preserve">The service </w:t>
      </w:r>
      <w:r w:rsidR="00025844">
        <w:rPr>
          <w:rFonts w:cs="Arial"/>
        </w:rPr>
        <w:t>has been managed by CNWL but will be managed directly by the Council</w:t>
      </w:r>
      <w:r w:rsidR="0070650C">
        <w:rPr>
          <w:rFonts w:cs="Arial"/>
        </w:rPr>
        <w:t xml:space="preserve"> from 1</w:t>
      </w:r>
      <w:r w:rsidR="00FF7CA9">
        <w:rPr>
          <w:rFonts w:cs="Arial"/>
          <w:vertAlign w:val="superscript"/>
        </w:rPr>
        <w:t xml:space="preserve"> </w:t>
      </w:r>
      <w:r w:rsidR="0070650C">
        <w:rPr>
          <w:rFonts w:cs="Arial"/>
        </w:rPr>
        <w:t>July from CNWL.</w:t>
      </w:r>
    </w:p>
    <w:p w14:paraId="74E6D2CC" w14:textId="77777777" w:rsidR="00221909" w:rsidRPr="00221909" w:rsidRDefault="00221909" w:rsidP="00221909">
      <w:pPr>
        <w:pStyle w:val="ListParagraph"/>
        <w:rPr>
          <w:rFonts w:cs="Arial"/>
        </w:rPr>
      </w:pPr>
    </w:p>
    <w:p w14:paraId="6FC29BFA" w14:textId="60A76725" w:rsidR="00221909" w:rsidRPr="00777AE6" w:rsidRDefault="00221909" w:rsidP="00B44F42">
      <w:pPr>
        <w:pStyle w:val="ListParagraph"/>
        <w:numPr>
          <w:ilvl w:val="0"/>
          <w:numId w:val="4"/>
        </w:numPr>
        <w:ind w:left="460" w:hanging="567"/>
        <w:jc w:val="both"/>
        <w:rPr>
          <w:rFonts w:cs="Arial"/>
        </w:rPr>
      </w:pPr>
      <w:r w:rsidRPr="00777AE6">
        <w:rPr>
          <w:rFonts w:cs="Arial"/>
          <w:b/>
          <w:bCs/>
        </w:rPr>
        <w:t>Better Care Fund</w:t>
      </w:r>
      <w:r w:rsidRPr="00777AE6">
        <w:rPr>
          <w:rFonts w:cs="Arial"/>
        </w:rPr>
        <w:t xml:space="preserve"> - £240k additional income</w:t>
      </w:r>
      <w:r w:rsidR="00777AE6" w:rsidRPr="00777AE6">
        <w:rPr>
          <w:rFonts w:cs="Arial"/>
        </w:rPr>
        <w:t xml:space="preserve"> reflecting the agree annual uplift of the funding of social care services at 5.66% rather than the 2% assumed when setting the budget.  As a result, the increased income will partially offset the purchasing overspends reported below.</w:t>
      </w:r>
    </w:p>
    <w:p w14:paraId="17E6BD7C" w14:textId="59F8736D" w:rsidR="00221909" w:rsidRPr="00221909" w:rsidRDefault="00221909" w:rsidP="00221909">
      <w:pPr>
        <w:pStyle w:val="ListParagraph"/>
        <w:rPr>
          <w:rFonts w:cs="Arial"/>
          <w:b/>
        </w:rPr>
      </w:pPr>
    </w:p>
    <w:p w14:paraId="02422837" w14:textId="7AAF27CA" w:rsidR="00CC2B6B" w:rsidRPr="00CC2B6B" w:rsidRDefault="008F135F" w:rsidP="000D35A9">
      <w:pPr>
        <w:pStyle w:val="ListParagraph"/>
        <w:numPr>
          <w:ilvl w:val="0"/>
          <w:numId w:val="4"/>
        </w:numPr>
        <w:ind w:left="460" w:hanging="567"/>
        <w:jc w:val="both"/>
        <w:rPr>
          <w:rFonts w:cs="Arial"/>
        </w:rPr>
      </w:pPr>
      <w:r w:rsidRPr="00CC2B6B">
        <w:rPr>
          <w:rFonts w:cs="Arial"/>
          <w:b/>
        </w:rPr>
        <w:t>Purchasing (Adults)</w:t>
      </w:r>
      <w:r w:rsidRPr="00CC2B6B">
        <w:rPr>
          <w:rFonts w:cs="Arial"/>
          <w:bCs/>
        </w:rPr>
        <w:t xml:space="preserve"> </w:t>
      </w:r>
      <w:r w:rsidR="00DD1D8B">
        <w:rPr>
          <w:rFonts w:cs="Arial"/>
          <w:bCs/>
        </w:rPr>
        <w:t>–</w:t>
      </w:r>
      <w:r w:rsidRPr="00CC2B6B">
        <w:rPr>
          <w:rFonts w:cs="Arial"/>
          <w:bCs/>
        </w:rPr>
        <w:t xml:space="preserve"> </w:t>
      </w:r>
      <w:r w:rsidR="00DD1D8B">
        <w:rPr>
          <w:rFonts w:cs="Arial"/>
          <w:bCs/>
        </w:rPr>
        <w:t xml:space="preserve">a net </w:t>
      </w:r>
      <w:r w:rsidRPr="00CC2B6B">
        <w:rPr>
          <w:rFonts w:cs="Arial"/>
          <w:bCs/>
        </w:rPr>
        <w:t>£</w:t>
      </w:r>
      <w:r w:rsidR="00112811">
        <w:rPr>
          <w:rFonts w:cs="Arial"/>
          <w:bCs/>
        </w:rPr>
        <w:t>2.</w:t>
      </w:r>
      <w:r w:rsidR="00F55C01">
        <w:rPr>
          <w:rFonts w:cs="Arial"/>
          <w:bCs/>
        </w:rPr>
        <w:t>128</w:t>
      </w:r>
      <w:r w:rsidRPr="00CC2B6B">
        <w:rPr>
          <w:rFonts w:cs="Arial"/>
          <w:bCs/>
        </w:rPr>
        <w:t>m overspend</w:t>
      </w:r>
      <w:r w:rsidR="00CF50D5">
        <w:rPr>
          <w:rFonts w:cs="Arial"/>
          <w:bCs/>
        </w:rPr>
        <w:t xml:space="preserve">.  </w:t>
      </w:r>
      <w:r w:rsidR="00CF50D5">
        <w:rPr>
          <w:rFonts w:cs="Arial"/>
        </w:rPr>
        <w:t>T</w:t>
      </w:r>
      <w:r w:rsidRPr="00CC2B6B">
        <w:rPr>
          <w:rFonts w:cs="Arial"/>
        </w:rPr>
        <w:t xml:space="preserve">he full year impact of the </w:t>
      </w:r>
      <w:r w:rsidR="001B7300">
        <w:rPr>
          <w:rFonts w:cs="Arial"/>
        </w:rPr>
        <w:t>20</w:t>
      </w:r>
      <w:r w:rsidRPr="00CC2B6B">
        <w:rPr>
          <w:rFonts w:cs="Arial"/>
        </w:rPr>
        <w:t>22-23 overspend resulted in an immediate pressure of £</w:t>
      </w:r>
      <w:r w:rsidR="00CF50D5">
        <w:rPr>
          <w:rFonts w:cs="Arial"/>
        </w:rPr>
        <w:t>5.4</w:t>
      </w:r>
      <w:r w:rsidR="000D12F1">
        <w:rPr>
          <w:rFonts w:cs="Arial"/>
        </w:rPr>
        <w:t>40</w:t>
      </w:r>
      <w:r w:rsidRPr="00CC2B6B">
        <w:rPr>
          <w:rFonts w:cs="Arial"/>
        </w:rPr>
        <w:t>m (</w:t>
      </w:r>
      <w:r w:rsidR="00CF50D5">
        <w:rPr>
          <w:rFonts w:cs="Arial"/>
        </w:rPr>
        <w:t xml:space="preserve">including the inflationary uplift to care providers </w:t>
      </w:r>
      <w:r w:rsidRPr="00CC2B6B">
        <w:rPr>
          <w:rFonts w:cs="Arial"/>
        </w:rPr>
        <w:t xml:space="preserve">).  </w:t>
      </w:r>
      <w:r w:rsidR="00DD1D8B">
        <w:rPr>
          <w:rFonts w:cs="Arial"/>
        </w:rPr>
        <w:t>Th</w:t>
      </w:r>
      <w:r w:rsidR="00CF50D5">
        <w:rPr>
          <w:rFonts w:cs="Arial"/>
        </w:rPr>
        <w:t xml:space="preserve">is is reduced by unbudgeted income of £2.787m and an agreed contribution from </w:t>
      </w:r>
      <w:r w:rsidR="00F069B1">
        <w:rPr>
          <w:rFonts w:cs="Arial"/>
        </w:rPr>
        <w:t xml:space="preserve">the budget planning </w:t>
      </w:r>
      <w:r w:rsidR="00CF50D5">
        <w:rPr>
          <w:rFonts w:cs="Arial"/>
        </w:rPr>
        <w:t>reserve of £525k.</w:t>
      </w:r>
      <w:r w:rsidR="005D62C4">
        <w:rPr>
          <w:rFonts w:cs="Arial"/>
        </w:rPr>
        <w:t xml:space="preserve"> </w:t>
      </w:r>
    </w:p>
    <w:p w14:paraId="3F0D7FAD" w14:textId="77777777" w:rsidR="00CC2B6B" w:rsidRPr="00CC2B6B" w:rsidRDefault="00CC2B6B" w:rsidP="00CC2B6B">
      <w:pPr>
        <w:pStyle w:val="ListParagraph"/>
        <w:rPr>
          <w:rFonts w:cs="Arial"/>
        </w:rPr>
      </w:pPr>
    </w:p>
    <w:p w14:paraId="63120BB9" w14:textId="1715D44D" w:rsidR="00CC2B6B" w:rsidRPr="00CC2B6B" w:rsidRDefault="008F135F" w:rsidP="00C749D3">
      <w:pPr>
        <w:pStyle w:val="ListParagraph"/>
        <w:numPr>
          <w:ilvl w:val="0"/>
          <w:numId w:val="4"/>
        </w:numPr>
        <w:ind w:left="460" w:hanging="567"/>
        <w:jc w:val="both"/>
        <w:rPr>
          <w:rFonts w:cs="Arial"/>
        </w:rPr>
      </w:pPr>
      <w:r w:rsidRPr="00CC2B6B">
        <w:rPr>
          <w:rFonts w:cs="Arial"/>
        </w:rPr>
        <w:t xml:space="preserve">The latest </w:t>
      </w:r>
      <w:r w:rsidR="00CC2B6B" w:rsidRPr="00CC2B6B">
        <w:rPr>
          <w:rFonts w:cs="Arial"/>
        </w:rPr>
        <w:t>forecast</w:t>
      </w:r>
      <w:r w:rsidRPr="00CC2B6B">
        <w:rPr>
          <w:rFonts w:cs="Arial"/>
        </w:rPr>
        <w:t xml:space="preserve"> assumes the cost of new packages will be offset </w:t>
      </w:r>
      <w:r w:rsidR="00CC2B6B" w:rsidRPr="00CC2B6B">
        <w:rPr>
          <w:rFonts w:cs="Arial"/>
        </w:rPr>
        <w:t xml:space="preserve">by </w:t>
      </w:r>
      <w:r w:rsidRPr="00CC2B6B">
        <w:rPr>
          <w:rFonts w:cs="Arial"/>
        </w:rPr>
        <w:t>packages ending (as</w:t>
      </w:r>
      <w:r w:rsidR="00425F7D">
        <w:rPr>
          <w:rFonts w:cs="Arial"/>
        </w:rPr>
        <w:t xml:space="preserve"> was e</w:t>
      </w:r>
      <w:r w:rsidR="00BB27ED">
        <w:rPr>
          <w:rFonts w:cs="Arial"/>
        </w:rPr>
        <w:t>xperienced</w:t>
      </w:r>
      <w:r w:rsidR="00CC2B6B" w:rsidRPr="00CC2B6B">
        <w:rPr>
          <w:rFonts w:cs="Arial"/>
        </w:rPr>
        <w:t xml:space="preserve"> in</w:t>
      </w:r>
      <w:r w:rsidRPr="00CC2B6B">
        <w:rPr>
          <w:rFonts w:cs="Arial"/>
        </w:rPr>
        <w:t xml:space="preserve"> </w:t>
      </w:r>
      <w:r w:rsidR="00CC2B6B" w:rsidRPr="00CC2B6B">
        <w:rPr>
          <w:rFonts w:cs="Arial"/>
        </w:rPr>
        <w:t>20</w:t>
      </w:r>
      <w:r w:rsidRPr="00CC2B6B">
        <w:rPr>
          <w:rFonts w:cs="Arial"/>
        </w:rPr>
        <w:t xml:space="preserve">22-23) however early indications suggest that this may not be </w:t>
      </w:r>
      <w:r w:rsidR="00425F7D">
        <w:rPr>
          <w:rFonts w:cs="Arial"/>
        </w:rPr>
        <w:t xml:space="preserve">the position in the longer term.  This reflects a </w:t>
      </w:r>
      <w:r w:rsidR="005537C9">
        <w:rPr>
          <w:rFonts w:cs="Arial"/>
        </w:rPr>
        <w:t xml:space="preserve">lower level of </w:t>
      </w:r>
      <w:r w:rsidR="00425F7D">
        <w:rPr>
          <w:rFonts w:cs="Arial"/>
        </w:rPr>
        <w:t>deaths being reported, together with the costs of new bedded care packages being materially higher than the weekly cost of those packages which end.  Th</w:t>
      </w:r>
      <w:r w:rsidR="00CC2B6B" w:rsidRPr="00CC2B6B">
        <w:rPr>
          <w:rFonts w:cs="Arial"/>
        </w:rPr>
        <w:t xml:space="preserve">e average weekly cost of </w:t>
      </w:r>
      <w:r w:rsidRPr="00CC2B6B">
        <w:rPr>
          <w:rFonts w:cs="Arial"/>
        </w:rPr>
        <w:t xml:space="preserve">bedded </w:t>
      </w:r>
      <w:r w:rsidR="00425F7D">
        <w:rPr>
          <w:rFonts w:cs="Arial"/>
        </w:rPr>
        <w:t>care (</w:t>
      </w:r>
      <w:r w:rsidRPr="00CC2B6B">
        <w:rPr>
          <w:rFonts w:cs="Arial"/>
        </w:rPr>
        <w:t>residential</w:t>
      </w:r>
      <w:r w:rsidR="00CC2B6B" w:rsidRPr="00CC2B6B">
        <w:rPr>
          <w:rFonts w:cs="Arial"/>
        </w:rPr>
        <w:t xml:space="preserve"> and </w:t>
      </w:r>
      <w:r w:rsidRPr="00CC2B6B">
        <w:rPr>
          <w:rFonts w:cs="Arial"/>
        </w:rPr>
        <w:t xml:space="preserve">nursing) </w:t>
      </w:r>
      <w:r w:rsidR="002E63DA">
        <w:rPr>
          <w:rFonts w:cs="Arial"/>
        </w:rPr>
        <w:t xml:space="preserve">at the end of July </w:t>
      </w:r>
      <w:r w:rsidR="00425F7D">
        <w:rPr>
          <w:rFonts w:cs="Arial"/>
        </w:rPr>
        <w:t>is £1,049 p</w:t>
      </w:r>
      <w:r w:rsidRPr="00CC2B6B">
        <w:rPr>
          <w:rFonts w:cs="Arial"/>
        </w:rPr>
        <w:t>er w</w:t>
      </w:r>
      <w:r w:rsidR="00CC2B6B" w:rsidRPr="00CC2B6B">
        <w:rPr>
          <w:rFonts w:cs="Arial"/>
        </w:rPr>
        <w:t xml:space="preserve">eek compared with £1,009 per week </w:t>
      </w:r>
      <w:r w:rsidR="00425F7D">
        <w:rPr>
          <w:rFonts w:cs="Arial"/>
        </w:rPr>
        <w:t>at the end of March 2023</w:t>
      </w:r>
      <w:r w:rsidR="002E63DA">
        <w:rPr>
          <w:rFonts w:cs="Arial"/>
        </w:rPr>
        <w:t>, and the number of beds commissioned has increased by 30 from 419 to 449</w:t>
      </w:r>
      <w:r w:rsidR="00425F7D">
        <w:rPr>
          <w:rFonts w:cs="Arial"/>
        </w:rPr>
        <w:t>.</w:t>
      </w:r>
    </w:p>
    <w:p w14:paraId="465895A4" w14:textId="77777777" w:rsidR="00CC2B6B" w:rsidRPr="00CC2B6B" w:rsidRDefault="00CC2B6B" w:rsidP="00CC2B6B">
      <w:pPr>
        <w:pStyle w:val="ListParagraph"/>
        <w:rPr>
          <w:rFonts w:cs="Arial"/>
        </w:rPr>
      </w:pPr>
    </w:p>
    <w:p w14:paraId="2ED8846A" w14:textId="028C92D3" w:rsidR="002E63DA" w:rsidRDefault="008F135F" w:rsidP="00F201BA">
      <w:pPr>
        <w:pStyle w:val="ListParagraph"/>
        <w:numPr>
          <w:ilvl w:val="0"/>
          <w:numId w:val="4"/>
        </w:numPr>
        <w:ind w:left="460" w:hanging="567"/>
        <w:jc w:val="both"/>
        <w:rPr>
          <w:rFonts w:cs="Arial"/>
        </w:rPr>
      </w:pPr>
      <w:r w:rsidRPr="00CC2B6B">
        <w:rPr>
          <w:rFonts w:cs="Arial"/>
        </w:rPr>
        <w:t>The forecast includes capacity of £1.4m for</w:t>
      </w:r>
      <w:r w:rsidR="00CC2B6B" w:rsidRPr="00CC2B6B">
        <w:rPr>
          <w:rFonts w:cs="Arial"/>
        </w:rPr>
        <w:t xml:space="preserve"> growth of</w:t>
      </w:r>
      <w:r w:rsidRPr="00CC2B6B">
        <w:rPr>
          <w:rFonts w:cs="Arial"/>
        </w:rPr>
        <w:t xml:space="preserve"> in year packages of care together with a further £900k for support for respite, carers and reablement between </w:t>
      </w:r>
      <w:r w:rsidR="00CC2B6B" w:rsidRPr="00CC2B6B">
        <w:rPr>
          <w:rFonts w:cs="Arial"/>
        </w:rPr>
        <w:t>Q1</w:t>
      </w:r>
      <w:r w:rsidRPr="00CC2B6B">
        <w:rPr>
          <w:rFonts w:cs="Arial"/>
        </w:rPr>
        <w:t xml:space="preserve"> and year end</w:t>
      </w:r>
      <w:r w:rsidR="00CC2B6B" w:rsidRPr="00CC2B6B">
        <w:rPr>
          <w:rFonts w:cs="Arial"/>
        </w:rPr>
        <w:t xml:space="preserve">. </w:t>
      </w:r>
    </w:p>
    <w:p w14:paraId="457D2448" w14:textId="77777777" w:rsidR="002E63DA" w:rsidRPr="002E63DA" w:rsidRDefault="002E63DA" w:rsidP="002E63DA">
      <w:pPr>
        <w:pStyle w:val="ListParagraph"/>
        <w:rPr>
          <w:rFonts w:cs="Arial"/>
        </w:rPr>
      </w:pPr>
    </w:p>
    <w:p w14:paraId="65E962B8" w14:textId="09BCF8CD" w:rsidR="002E63DA" w:rsidRDefault="002E63DA" w:rsidP="00F201BA">
      <w:pPr>
        <w:pStyle w:val="ListParagraph"/>
        <w:numPr>
          <w:ilvl w:val="0"/>
          <w:numId w:val="4"/>
        </w:numPr>
        <w:ind w:left="460" w:hanging="567"/>
        <w:jc w:val="both"/>
        <w:rPr>
          <w:rFonts w:cs="Arial"/>
        </w:rPr>
      </w:pPr>
      <w:r>
        <w:rPr>
          <w:rFonts w:cs="Arial"/>
        </w:rPr>
        <w:t>The cost of care provider inflation is expected to cost £4.3m</w:t>
      </w:r>
      <w:r w:rsidR="00F55C01">
        <w:rPr>
          <w:rFonts w:cs="Arial"/>
        </w:rPr>
        <w:t xml:space="preserve">.  This is funded in the main by the Market Sustainability grant, with the balance of £525k funded on a one-off basis from reserves as </w:t>
      </w:r>
      <w:r>
        <w:rPr>
          <w:rFonts w:cs="Arial"/>
        </w:rPr>
        <w:t>noted in table 9 above.</w:t>
      </w:r>
    </w:p>
    <w:p w14:paraId="435CAC87" w14:textId="77777777" w:rsidR="002E63DA" w:rsidRPr="002E63DA" w:rsidRDefault="002E63DA" w:rsidP="002E63DA">
      <w:pPr>
        <w:pStyle w:val="ListParagraph"/>
        <w:rPr>
          <w:rFonts w:cs="Arial"/>
        </w:rPr>
      </w:pPr>
    </w:p>
    <w:p w14:paraId="2430C523" w14:textId="4F6547EB" w:rsidR="008F135F" w:rsidRDefault="00CC2B6B" w:rsidP="00F201BA">
      <w:pPr>
        <w:pStyle w:val="ListParagraph"/>
        <w:numPr>
          <w:ilvl w:val="0"/>
          <w:numId w:val="4"/>
        </w:numPr>
        <w:ind w:left="460" w:hanging="567"/>
        <w:jc w:val="both"/>
        <w:rPr>
          <w:rFonts w:cs="Arial"/>
        </w:rPr>
      </w:pPr>
      <w:r w:rsidRPr="00CC2B6B">
        <w:rPr>
          <w:rFonts w:cs="Arial"/>
        </w:rPr>
        <w:t xml:space="preserve">In addition, the home care </w:t>
      </w:r>
      <w:r w:rsidR="008F135F" w:rsidRPr="00CC2B6B">
        <w:rPr>
          <w:rFonts w:cs="Arial"/>
        </w:rPr>
        <w:t>MTFS</w:t>
      </w:r>
      <w:r w:rsidR="005D62C4">
        <w:rPr>
          <w:rFonts w:cs="Arial"/>
        </w:rPr>
        <w:t xml:space="preserve"> saving </w:t>
      </w:r>
      <w:r w:rsidR="008F135F" w:rsidRPr="00CC2B6B">
        <w:rPr>
          <w:rFonts w:cs="Arial"/>
        </w:rPr>
        <w:t xml:space="preserve"> </w:t>
      </w:r>
      <w:r w:rsidRPr="00CC2B6B">
        <w:rPr>
          <w:rFonts w:cs="Arial"/>
        </w:rPr>
        <w:t xml:space="preserve">of </w:t>
      </w:r>
      <w:r w:rsidR="008F135F" w:rsidRPr="00CC2B6B">
        <w:rPr>
          <w:rFonts w:cs="Arial"/>
        </w:rPr>
        <w:t xml:space="preserve">£500k </w:t>
      </w:r>
      <w:r w:rsidRPr="00CC2B6B">
        <w:rPr>
          <w:rFonts w:cs="Arial"/>
        </w:rPr>
        <w:t xml:space="preserve">is </w:t>
      </w:r>
      <w:r w:rsidR="008F135F" w:rsidRPr="00CC2B6B">
        <w:rPr>
          <w:rFonts w:cs="Arial"/>
        </w:rPr>
        <w:t>expected to be delivered</w:t>
      </w:r>
      <w:r w:rsidR="0012337D">
        <w:rPr>
          <w:rFonts w:cs="Arial"/>
        </w:rPr>
        <w:t>.</w:t>
      </w:r>
    </w:p>
    <w:p w14:paraId="0C711C23" w14:textId="77777777" w:rsidR="00112811" w:rsidRPr="00112811" w:rsidRDefault="00112811" w:rsidP="00112811">
      <w:pPr>
        <w:pStyle w:val="ListParagraph"/>
        <w:rPr>
          <w:rFonts w:cs="Arial"/>
        </w:rPr>
      </w:pPr>
    </w:p>
    <w:p w14:paraId="3420580D" w14:textId="37F59601" w:rsidR="0012337D" w:rsidRDefault="00112811" w:rsidP="008B0BC2">
      <w:pPr>
        <w:pStyle w:val="ListParagraph"/>
        <w:numPr>
          <w:ilvl w:val="0"/>
          <w:numId w:val="4"/>
        </w:numPr>
        <w:ind w:left="460" w:hanging="567"/>
        <w:jc w:val="both"/>
        <w:rPr>
          <w:rFonts w:cs="Arial"/>
        </w:rPr>
      </w:pPr>
      <w:r w:rsidRPr="003559A2">
        <w:rPr>
          <w:rFonts w:cs="Arial"/>
        </w:rPr>
        <w:t>Unbudgeted income of £2.78</w:t>
      </w:r>
      <w:r w:rsidR="00533DDC">
        <w:rPr>
          <w:rFonts w:cs="Arial"/>
        </w:rPr>
        <w:t>7</w:t>
      </w:r>
      <w:r w:rsidRPr="003559A2">
        <w:rPr>
          <w:rFonts w:cs="Arial"/>
        </w:rPr>
        <w:t>m is reflected in this forecast and represents the agreed ICB discharge funding allocation of £1.3</w:t>
      </w:r>
      <w:r w:rsidR="00533DDC">
        <w:rPr>
          <w:rFonts w:cs="Arial"/>
        </w:rPr>
        <w:t>12</w:t>
      </w:r>
      <w:r w:rsidRPr="003559A2">
        <w:rPr>
          <w:rFonts w:cs="Arial"/>
        </w:rPr>
        <w:t xml:space="preserve">m together with </w:t>
      </w:r>
      <w:r w:rsidR="00F55C01" w:rsidRPr="003559A2">
        <w:rPr>
          <w:rFonts w:cs="Arial"/>
        </w:rPr>
        <w:t xml:space="preserve">the recently announced </w:t>
      </w:r>
      <w:r w:rsidRPr="003559A2">
        <w:rPr>
          <w:rFonts w:cs="Arial"/>
        </w:rPr>
        <w:t>Market Sustainability Improvement Fund (Workforce Fund)</w:t>
      </w:r>
      <w:r w:rsidR="00F55C01" w:rsidRPr="003559A2">
        <w:rPr>
          <w:rFonts w:cs="Arial"/>
        </w:rPr>
        <w:t xml:space="preserve"> of £1.475m</w:t>
      </w:r>
      <w:r w:rsidRPr="003559A2">
        <w:rPr>
          <w:rFonts w:cs="Arial"/>
        </w:rPr>
        <w:t>.</w:t>
      </w:r>
      <w:r w:rsidR="00F55C01" w:rsidRPr="003559A2">
        <w:rPr>
          <w:rFonts w:cs="Arial"/>
        </w:rPr>
        <w:t xml:space="preserve">  </w:t>
      </w:r>
    </w:p>
    <w:p w14:paraId="6A7C634C" w14:textId="77777777" w:rsidR="003559A2" w:rsidRPr="003559A2" w:rsidRDefault="003559A2" w:rsidP="003559A2">
      <w:pPr>
        <w:jc w:val="both"/>
        <w:rPr>
          <w:rFonts w:cs="Arial"/>
        </w:rPr>
      </w:pPr>
    </w:p>
    <w:p w14:paraId="365348E5" w14:textId="7E9548D3" w:rsidR="0012337D" w:rsidRPr="00CC2B6B" w:rsidRDefault="0012337D" w:rsidP="00F201BA">
      <w:pPr>
        <w:pStyle w:val="ListParagraph"/>
        <w:numPr>
          <w:ilvl w:val="0"/>
          <w:numId w:val="4"/>
        </w:numPr>
        <w:ind w:left="460" w:hanging="567"/>
        <w:jc w:val="both"/>
        <w:rPr>
          <w:rFonts w:cs="Arial"/>
        </w:rPr>
      </w:pPr>
      <w:r>
        <w:rPr>
          <w:rFonts w:cs="Arial"/>
        </w:rPr>
        <w:t xml:space="preserve">The outstanding level of debt associated with unpaid client contribution continues to </w:t>
      </w:r>
      <w:r w:rsidR="005537C9">
        <w:rPr>
          <w:rFonts w:cs="Arial"/>
        </w:rPr>
        <w:t xml:space="preserve">increase and </w:t>
      </w:r>
      <w:r>
        <w:rPr>
          <w:rFonts w:cs="Arial"/>
        </w:rPr>
        <w:t>age</w:t>
      </w:r>
      <w:r w:rsidR="005537C9">
        <w:rPr>
          <w:rFonts w:cs="Arial"/>
        </w:rPr>
        <w:t xml:space="preserve">. At the end of June, the outstanding debt totalled £7.1m of which £3.5m had been outstanding for more than a year.  As a result, </w:t>
      </w:r>
      <w:r w:rsidR="001C6D40">
        <w:rPr>
          <w:rFonts w:cs="Arial"/>
        </w:rPr>
        <w:t>a provision for bad debt</w:t>
      </w:r>
      <w:r w:rsidR="005537C9">
        <w:rPr>
          <w:rFonts w:cs="Arial"/>
        </w:rPr>
        <w:t xml:space="preserve"> of £4.1m needs to be set aside</w:t>
      </w:r>
      <w:r w:rsidR="007922AD">
        <w:rPr>
          <w:rFonts w:cs="Arial"/>
        </w:rPr>
        <w:t>, requiring</w:t>
      </w:r>
      <w:r w:rsidR="005537C9">
        <w:rPr>
          <w:rFonts w:cs="Arial"/>
        </w:rPr>
        <w:t xml:space="preserve"> an increase in the </w:t>
      </w:r>
      <w:r>
        <w:rPr>
          <w:rFonts w:cs="Arial"/>
        </w:rPr>
        <w:t>bad debt provision</w:t>
      </w:r>
      <w:r w:rsidR="007922AD">
        <w:rPr>
          <w:rFonts w:cs="Arial"/>
        </w:rPr>
        <w:t xml:space="preserve">, forecast at the </w:t>
      </w:r>
      <w:r>
        <w:rPr>
          <w:rFonts w:cs="Arial"/>
        </w:rPr>
        <w:t xml:space="preserve">budgeted £500k.  </w:t>
      </w:r>
    </w:p>
    <w:p w14:paraId="3A9224E6" w14:textId="77777777" w:rsidR="00CC2B6B" w:rsidRPr="00CC2B6B" w:rsidRDefault="00CC2B6B" w:rsidP="00CC2B6B">
      <w:pPr>
        <w:pStyle w:val="ListParagraph"/>
        <w:rPr>
          <w:rFonts w:cs="Arial"/>
          <w:color w:val="FF0000"/>
        </w:rPr>
      </w:pPr>
    </w:p>
    <w:p w14:paraId="04CCA993" w14:textId="376985AC" w:rsidR="00CC2B6B" w:rsidRPr="0089041C" w:rsidRDefault="00CC2B6B" w:rsidP="00F201BA">
      <w:pPr>
        <w:pStyle w:val="ListParagraph"/>
        <w:numPr>
          <w:ilvl w:val="0"/>
          <w:numId w:val="4"/>
        </w:numPr>
        <w:ind w:left="460" w:hanging="567"/>
        <w:jc w:val="both"/>
        <w:rPr>
          <w:rFonts w:cs="Arial"/>
        </w:rPr>
      </w:pPr>
      <w:r w:rsidRPr="0089041C">
        <w:rPr>
          <w:rFonts w:cs="Arial"/>
          <w:b/>
          <w:bCs/>
        </w:rPr>
        <w:t>Purchasing (LD, CYAD &amp; Shared Lives)</w:t>
      </w:r>
      <w:r w:rsidRPr="0089041C">
        <w:rPr>
          <w:rFonts w:cs="Arial"/>
        </w:rPr>
        <w:t xml:space="preserve"> - £</w:t>
      </w:r>
      <w:r w:rsidR="00F55C01">
        <w:rPr>
          <w:rFonts w:cs="Arial"/>
        </w:rPr>
        <w:t>2.308m</w:t>
      </w:r>
      <w:r w:rsidRPr="0089041C">
        <w:rPr>
          <w:rFonts w:cs="Arial"/>
        </w:rPr>
        <w:t xml:space="preserve"> overspend. This is made up as follows:</w:t>
      </w:r>
    </w:p>
    <w:p w14:paraId="131FB09F" w14:textId="77777777" w:rsidR="00CC2B6B" w:rsidRPr="0089041C" w:rsidRDefault="00CC2B6B" w:rsidP="00CC2B6B">
      <w:pPr>
        <w:pStyle w:val="ListParagraph"/>
        <w:rPr>
          <w:rFonts w:cs="Arial"/>
        </w:rPr>
      </w:pPr>
    </w:p>
    <w:p w14:paraId="1730F28D" w14:textId="44A2656C" w:rsidR="000A1625" w:rsidRPr="000A1625" w:rsidRDefault="00CC2B6B" w:rsidP="008631A2">
      <w:pPr>
        <w:pStyle w:val="ListParagraph"/>
        <w:numPr>
          <w:ilvl w:val="1"/>
          <w:numId w:val="4"/>
        </w:numPr>
        <w:ind w:left="1418" w:hanging="567"/>
        <w:jc w:val="both"/>
        <w:rPr>
          <w:rFonts w:cs="Arial"/>
        </w:rPr>
      </w:pPr>
      <w:r w:rsidRPr="000A1625">
        <w:rPr>
          <w:rFonts w:cs="Arial"/>
          <w:b/>
          <w:bCs/>
        </w:rPr>
        <w:t>LD - £1.697m overspend</w:t>
      </w:r>
      <w:r w:rsidRPr="000A1625">
        <w:rPr>
          <w:rFonts w:cs="Arial"/>
        </w:rPr>
        <w:t xml:space="preserve">. </w:t>
      </w:r>
      <w:r w:rsidR="000A1625" w:rsidRPr="000A1625">
        <w:rPr>
          <w:rFonts w:cs="Arial"/>
        </w:rPr>
        <w:t xml:space="preserve">At the beginning of the financial year, the full year impact of the </w:t>
      </w:r>
      <w:r w:rsidR="001B7300">
        <w:rPr>
          <w:rFonts w:cs="Arial"/>
        </w:rPr>
        <w:t>20</w:t>
      </w:r>
      <w:r w:rsidR="000A1625" w:rsidRPr="000A1625">
        <w:rPr>
          <w:rFonts w:cs="Arial"/>
        </w:rPr>
        <w:t xml:space="preserve">22-23 overspend </w:t>
      </w:r>
      <w:r w:rsidR="003A47A0">
        <w:rPr>
          <w:rFonts w:cs="Arial"/>
        </w:rPr>
        <w:t xml:space="preserve">of £732k </w:t>
      </w:r>
      <w:r w:rsidR="000A1625" w:rsidRPr="000A1625">
        <w:rPr>
          <w:rFonts w:cs="Arial"/>
        </w:rPr>
        <w:t>resulted in an immediate pressure of £1.241m (there was no MTFS growth in 23-24 for LD).  This variation has increased by £45</w:t>
      </w:r>
      <w:r w:rsidR="003A47A0">
        <w:rPr>
          <w:rFonts w:cs="Arial"/>
        </w:rPr>
        <w:t>6</w:t>
      </w:r>
      <w:r w:rsidR="000A1625" w:rsidRPr="000A1625">
        <w:rPr>
          <w:rFonts w:cs="Arial"/>
        </w:rPr>
        <w:t xml:space="preserve">k to £1.697m and </w:t>
      </w:r>
      <w:r w:rsidR="001B7300" w:rsidRPr="000A1625">
        <w:rPr>
          <w:rFonts w:cs="Arial"/>
        </w:rPr>
        <w:t xml:space="preserve">comprises </w:t>
      </w:r>
      <w:r w:rsidR="001B7300">
        <w:rPr>
          <w:rFonts w:cs="Arial"/>
        </w:rPr>
        <w:t>the</w:t>
      </w:r>
      <w:r w:rsidR="000A1625" w:rsidRPr="000A1625">
        <w:rPr>
          <w:rFonts w:cs="Arial"/>
        </w:rPr>
        <w:t xml:space="preserve"> following:</w:t>
      </w:r>
    </w:p>
    <w:p w14:paraId="4BD5CC7C" w14:textId="2519B9C7" w:rsidR="000A1625" w:rsidRPr="000A1625" w:rsidRDefault="000A1625" w:rsidP="001B7300">
      <w:pPr>
        <w:pStyle w:val="ListParagraph"/>
        <w:ind w:left="2160"/>
        <w:jc w:val="both"/>
        <w:rPr>
          <w:rFonts w:cs="Arial"/>
        </w:rPr>
      </w:pPr>
      <w:r w:rsidRPr="000A1625">
        <w:rPr>
          <w:rFonts w:cs="Arial"/>
        </w:rPr>
        <w:t>- £265k shortfall on the MTFS savings of £400k, now assuming that £135k will be achieved</w:t>
      </w:r>
    </w:p>
    <w:p w14:paraId="4D281781" w14:textId="251F2FAC" w:rsidR="003A6407" w:rsidRDefault="000A1625" w:rsidP="001B7300">
      <w:pPr>
        <w:pStyle w:val="ListParagraph"/>
        <w:ind w:left="2160"/>
        <w:jc w:val="both"/>
        <w:rPr>
          <w:rFonts w:cs="Arial"/>
        </w:rPr>
      </w:pPr>
      <w:r w:rsidRPr="000A1625">
        <w:rPr>
          <w:rFonts w:cs="Arial"/>
        </w:rPr>
        <w:t>- £19</w:t>
      </w:r>
      <w:r w:rsidR="003A47A0">
        <w:rPr>
          <w:rFonts w:cs="Arial"/>
        </w:rPr>
        <w:t>1</w:t>
      </w:r>
      <w:r w:rsidRPr="000A1625">
        <w:rPr>
          <w:rFonts w:cs="Arial"/>
        </w:rPr>
        <w:t>k largely reflecting in year short term costs not forecast at 1st April 2023</w:t>
      </w:r>
    </w:p>
    <w:p w14:paraId="38D39EEE" w14:textId="77777777" w:rsidR="003A47A0" w:rsidRPr="0089041C" w:rsidRDefault="003A47A0" w:rsidP="000A1625">
      <w:pPr>
        <w:pStyle w:val="ListParagraph"/>
        <w:ind w:left="1418"/>
        <w:jc w:val="both"/>
        <w:rPr>
          <w:rFonts w:cs="Arial"/>
        </w:rPr>
      </w:pPr>
    </w:p>
    <w:p w14:paraId="14BE4FFC" w14:textId="77E1150B" w:rsidR="00437C4D" w:rsidRPr="00B51151" w:rsidRDefault="003A6407" w:rsidP="00510E17">
      <w:pPr>
        <w:pStyle w:val="ListParagraph"/>
        <w:numPr>
          <w:ilvl w:val="1"/>
          <w:numId w:val="4"/>
        </w:numPr>
        <w:ind w:left="1418" w:hanging="567"/>
        <w:jc w:val="both"/>
        <w:rPr>
          <w:rFonts w:cs="Arial"/>
        </w:rPr>
      </w:pPr>
      <w:r w:rsidRPr="00B51151">
        <w:rPr>
          <w:rFonts w:cs="Arial"/>
          <w:b/>
          <w:bCs/>
        </w:rPr>
        <w:t>CYAD - £2.128m overspend</w:t>
      </w:r>
      <w:r w:rsidR="0089041C" w:rsidRPr="00B51151">
        <w:rPr>
          <w:rFonts w:cs="Arial"/>
          <w:color w:val="FF0000"/>
        </w:rPr>
        <w:t>.</w:t>
      </w:r>
      <w:r w:rsidR="00437C4D" w:rsidRPr="00B51151">
        <w:rPr>
          <w:rFonts w:cs="Arial"/>
          <w:color w:val="FF0000"/>
        </w:rPr>
        <w:t xml:space="preserve"> </w:t>
      </w:r>
      <w:r w:rsidR="00437C4D" w:rsidRPr="00B51151">
        <w:rPr>
          <w:rFonts w:cs="Arial"/>
        </w:rPr>
        <w:t xml:space="preserve">At the beginning of the financial year, the full year impact of the </w:t>
      </w:r>
      <w:r w:rsidR="001B7300">
        <w:rPr>
          <w:rFonts w:cs="Arial"/>
        </w:rPr>
        <w:t>20</w:t>
      </w:r>
      <w:r w:rsidR="00437C4D" w:rsidRPr="00B51151">
        <w:rPr>
          <w:rFonts w:cs="Arial"/>
        </w:rPr>
        <w:t xml:space="preserve">22-23 overspend of £824k resulted in an immediate pressure of </w:t>
      </w:r>
      <w:r w:rsidR="00C87A1B">
        <w:rPr>
          <w:rFonts w:cs="Arial"/>
        </w:rPr>
        <w:t xml:space="preserve">£1.667m (there was no MTFS growth in 2023-24 for CYAD) which together with a forecast of £372k for new packages and other minor variations of £89k </w:t>
      </w:r>
      <w:proofErr w:type="spellStart"/>
      <w:r w:rsidR="00C87A1B">
        <w:rPr>
          <w:rFonts w:cs="Arial"/>
        </w:rPr>
        <w:t>leades</w:t>
      </w:r>
      <w:proofErr w:type="spellEnd"/>
      <w:r w:rsidR="00C87A1B">
        <w:rPr>
          <w:rFonts w:cs="Arial"/>
        </w:rPr>
        <w:t xml:space="preserve"> to an overall forecast overspend position.</w:t>
      </w:r>
    </w:p>
    <w:p w14:paraId="4DF065FB" w14:textId="3DB99A46" w:rsidR="0089041C" w:rsidRPr="0089041C" w:rsidRDefault="0089041C" w:rsidP="00437C4D">
      <w:pPr>
        <w:jc w:val="both"/>
        <w:rPr>
          <w:rFonts w:cs="Arial"/>
        </w:rPr>
      </w:pPr>
    </w:p>
    <w:p w14:paraId="4C873F6C" w14:textId="2EAA1F01" w:rsidR="003A6407" w:rsidRDefault="003A6407" w:rsidP="00CC2B6B">
      <w:pPr>
        <w:pStyle w:val="ListParagraph"/>
        <w:numPr>
          <w:ilvl w:val="1"/>
          <w:numId w:val="4"/>
        </w:numPr>
        <w:ind w:left="1418" w:hanging="567"/>
        <w:jc w:val="both"/>
        <w:rPr>
          <w:rFonts w:cs="Arial"/>
        </w:rPr>
      </w:pPr>
      <w:r w:rsidRPr="000A1625">
        <w:rPr>
          <w:rFonts w:cs="Arial"/>
          <w:b/>
          <w:bCs/>
        </w:rPr>
        <w:t>Share</w:t>
      </w:r>
      <w:r w:rsidR="000A1625" w:rsidRPr="000A1625">
        <w:rPr>
          <w:rFonts w:cs="Arial"/>
          <w:b/>
          <w:bCs/>
        </w:rPr>
        <w:t>d</w:t>
      </w:r>
      <w:r w:rsidRPr="000A1625">
        <w:rPr>
          <w:rFonts w:cs="Arial"/>
          <w:b/>
          <w:bCs/>
        </w:rPr>
        <w:t xml:space="preserve"> Lives - £42k underspend</w:t>
      </w:r>
      <w:r w:rsidRPr="0089041C">
        <w:rPr>
          <w:rFonts w:cs="Arial"/>
        </w:rPr>
        <w:t xml:space="preserve"> as a result of 6 placement vacancies</w:t>
      </w:r>
      <w:r w:rsidR="000A1625">
        <w:rPr>
          <w:rFonts w:cs="Arial"/>
        </w:rPr>
        <w:t>.</w:t>
      </w:r>
    </w:p>
    <w:p w14:paraId="381DEC44" w14:textId="77777777" w:rsidR="00A12860" w:rsidRPr="00A12860" w:rsidRDefault="00A12860" w:rsidP="00A12860">
      <w:pPr>
        <w:pStyle w:val="ListParagraph"/>
        <w:rPr>
          <w:rFonts w:cs="Arial"/>
        </w:rPr>
      </w:pPr>
    </w:p>
    <w:p w14:paraId="4F7434E4" w14:textId="5ECE3AEA" w:rsidR="00A12860" w:rsidRPr="0089041C" w:rsidRDefault="00112811" w:rsidP="00CC2B6B">
      <w:pPr>
        <w:pStyle w:val="ListParagraph"/>
        <w:numPr>
          <w:ilvl w:val="1"/>
          <w:numId w:val="4"/>
        </w:numPr>
        <w:ind w:left="1418" w:hanging="567"/>
        <w:jc w:val="both"/>
        <w:rPr>
          <w:rFonts w:cs="Arial"/>
        </w:rPr>
      </w:pPr>
      <w:r w:rsidRPr="00112811">
        <w:rPr>
          <w:rFonts w:cs="Arial"/>
          <w:b/>
          <w:bCs/>
        </w:rPr>
        <w:t>Contribution from reserves - £</w:t>
      </w:r>
      <w:r w:rsidR="00F55C01">
        <w:rPr>
          <w:rFonts w:cs="Arial"/>
          <w:b/>
          <w:bCs/>
        </w:rPr>
        <w:t>1.475</w:t>
      </w:r>
      <w:r w:rsidRPr="00112811">
        <w:rPr>
          <w:rFonts w:cs="Arial"/>
          <w:b/>
          <w:bCs/>
        </w:rPr>
        <w:t>m</w:t>
      </w:r>
      <w:r w:rsidR="00A12860" w:rsidRPr="00112811">
        <w:rPr>
          <w:rFonts w:cs="Arial"/>
          <w:b/>
          <w:bCs/>
        </w:rPr>
        <w:t xml:space="preserve"> </w:t>
      </w:r>
      <w:r w:rsidR="00F55C01">
        <w:rPr>
          <w:rFonts w:cs="Arial"/>
        </w:rPr>
        <w:t xml:space="preserve">– this represents </w:t>
      </w:r>
      <w:r w:rsidR="00BF4154">
        <w:rPr>
          <w:rFonts w:cs="Arial"/>
        </w:rPr>
        <w:t xml:space="preserve">an </w:t>
      </w:r>
      <w:r w:rsidR="00A12860">
        <w:rPr>
          <w:rFonts w:cs="Arial"/>
        </w:rPr>
        <w:t>agreed contribution from reserves</w:t>
      </w:r>
      <w:r w:rsidR="00F55C01">
        <w:rPr>
          <w:rFonts w:cs="Arial"/>
        </w:rPr>
        <w:t xml:space="preserve"> </w:t>
      </w:r>
      <w:r w:rsidR="003559A2">
        <w:rPr>
          <w:rFonts w:cs="Arial"/>
        </w:rPr>
        <w:t xml:space="preserve">(as noted in table 9 above) </w:t>
      </w:r>
      <w:r w:rsidR="00F55C01">
        <w:rPr>
          <w:rFonts w:cs="Arial"/>
        </w:rPr>
        <w:t>following the application of the MSIF grant for a large part of the care provider inflation.</w:t>
      </w:r>
    </w:p>
    <w:p w14:paraId="024374D6" w14:textId="454036F3" w:rsidR="008F135F" w:rsidRDefault="008F135F" w:rsidP="0089041C">
      <w:pPr>
        <w:jc w:val="both"/>
        <w:rPr>
          <w:rFonts w:cs="Arial"/>
          <w:color w:val="FF0000"/>
        </w:rPr>
      </w:pPr>
    </w:p>
    <w:p w14:paraId="74B6A23F" w14:textId="179B9B50" w:rsidR="00221909" w:rsidRDefault="00221909" w:rsidP="00221909">
      <w:pPr>
        <w:pStyle w:val="ListParagraph"/>
        <w:numPr>
          <w:ilvl w:val="0"/>
          <w:numId w:val="4"/>
        </w:numPr>
        <w:ind w:left="460" w:hanging="567"/>
        <w:jc w:val="both"/>
        <w:rPr>
          <w:rFonts w:cs="Arial"/>
        </w:rPr>
      </w:pPr>
      <w:r w:rsidRPr="0089041C">
        <w:rPr>
          <w:rFonts w:cs="Arial"/>
          <w:b/>
          <w:bCs/>
        </w:rPr>
        <w:t>Transport</w:t>
      </w:r>
      <w:r>
        <w:rPr>
          <w:rFonts w:cs="Arial"/>
        </w:rPr>
        <w:t xml:space="preserve"> - £81k underspend largely related to staffing vacancies</w:t>
      </w:r>
      <w:r w:rsidR="00A5039C">
        <w:rPr>
          <w:rFonts w:cs="Arial"/>
        </w:rPr>
        <w:t xml:space="preserve"> and offsets the non-delivery of the day care savings reported within the LD overspend reported in para 2.28 above.</w:t>
      </w:r>
    </w:p>
    <w:p w14:paraId="33F3B9E9" w14:textId="77777777" w:rsidR="00221909" w:rsidRPr="00221909" w:rsidRDefault="00221909" w:rsidP="00221909">
      <w:pPr>
        <w:pStyle w:val="ListParagraph"/>
        <w:ind w:left="460"/>
        <w:jc w:val="both"/>
        <w:rPr>
          <w:rFonts w:cs="Arial"/>
        </w:rPr>
      </w:pPr>
    </w:p>
    <w:p w14:paraId="1B0E44EF" w14:textId="0D774737" w:rsidR="00221909" w:rsidRPr="0089041C" w:rsidRDefault="00221909" w:rsidP="00221909">
      <w:pPr>
        <w:pStyle w:val="ListParagraph"/>
        <w:numPr>
          <w:ilvl w:val="0"/>
          <w:numId w:val="4"/>
        </w:numPr>
        <w:ind w:left="460" w:hanging="567"/>
        <w:jc w:val="both"/>
        <w:rPr>
          <w:rFonts w:cs="Arial"/>
        </w:rPr>
      </w:pPr>
      <w:r w:rsidRPr="0089041C">
        <w:rPr>
          <w:rFonts w:cs="Arial"/>
          <w:b/>
          <w:bCs/>
        </w:rPr>
        <w:t>Complaints</w:t>
      </w:r>
      <w:r>
        <w:rPr>
          <w:rFonts w:cs="Arial"/>
        </w:rPr>
        <w:t xml:space="preserve"> - £13k underspend which reflects a lower level of external support required for the complaints process</w:t>
      </w:r>
    </w:p>
    <w:p w14:paraId="70C4258C" w14:textId="77777777" w:rsidR="00221909" w:rsidRPr="00221909" w:rsidRDefault="00221909" w:rsidP="00221909">
      <w:pPr>
        <w:pStyle w:val="ListParagraph"/>
        <w:ind w:left="460"/>
        <w:jc w:val="both"/>
        <w:rPr>
          <w:rFonts w:cs="Arial"/>
        </w:rPr>
      </w:pPr>
    </w:p>
    <w:p w14:paraId="24ADDD3B" w14:textId="037778BE" w:rsidR="0089041C" w:rsidRPr="00A5039C" w:rsidRDefault="0089041C" w:rsidP="00411166">
      <w:pPr>
        <w:pStyle w:val="ListParagraph"/>
        <w:numPr>
          <w:ilvl w:val="0"/>
          <w:numId w:val="4"/>
        </w:numPr>
        <w:ind w:left="460" w:hanging="567"/>
        <w:jc w:val="both"/>
        <w:rPr>
          <w:rFonts w:cs="Arial"/>
        </w:rPr>
      </w:pPr>
      <w:r w:rsidRPr="00A5039C">
        <w:rPr>
          <w:rFonts w:cs="Arial"/>
          <w:b/>
          <w:bCs/>
        </w:rPr>
        <w:t>Inhouse Services</w:t>
      </w:r>
      <w:r w:rsidRPr="00A5039C">
        <w:rPr>
          <w:rFonts w:cs="Arial"/>
        </w:rPr>
        <w:t xml:space="preserve"> - £175k underspend which reflects </w:t>
      </w:r>
      <w:r w:rsidR="009A62CC" w:rsidRPr="00A5039C">
        <w:rPr>
          <w:rFonts w:cs="Arial"/>
        </w:rPr>
        <w:t xml:space="preserve">in the main a lower level of staffing costs arising from vacancies, reduced by the </w:t>
      </w:r>
      <w:r w:rsidRPr="00A5039C">
        <w:rPr>
          <w:rFonts w:cs="Arial"/>
        </w:rPr>
        <w:t xml:space="preserve">non-achievement of Bedford House deregistration (MTFS £100k). </w:t>
      </w:r>
      <w:r w:rsidR="00A5039C" w:rsidRPr="00A5039C">
        <w:rPr>
          <w:rFonts w:cs="Arial"/>
        </w:rPr>
        <w:t xml:space="preserve">This underspend offsets the non-delivery of </w:t>
      </w:r>
      <w:r w:rsidR="00A5039C" w:rsidRPr="00A5039C">
        <w:rPr>
          <w:rFonts w:cs="Arial"/>
        </w:rPr>
        <w:lastRenderedPageBreak/>
        <w:t>the MTFS day care savings (approved at £400k with a shortfall on delivery of £265k) reported within the LD overspend reported in para 2.</w:t>
      </w:r>
      <w:r w:rsidR="000F37B7">
        <w:rPr>
          <w:rFonts w:cs="Arial"/>
        </w:rPr>
        <w:t>31</w:t>
      </w:r>
      <w:r w:rsidR="00A5039C" w:rsidRPr="00A5039C">
        <w:rPr>
          <w:rFonts w:cs="Arial"/>
        </w:rPr>
        <w:t xml:space="preserve"> above</w:t>
      </w:r>
      <w:r w:rsidR="00A5039C">
        <w:rPr>
          <w:rFonts w:cs="Arial"/>
        </w:rPr>
        <w:t>.</w:t>
      </w:r>
    </w:p>
    <w:p w14:paraId="1B495D0B" w14:textId="053BC52F" w:rsidR="0089041C" w:rsidRDefault="0089041C" w:rsidP="0089041C">
      <w:pPr>
        <w:pStyle w:val="ListParagraph"/>
        <w:rPr>
          <w:rFonts w:cs="Arial"/>
        </w:rPr>
      </w:pPr>
    </w:p>
    <w:p w14:paraId="61085B16" w14:textId="77777777" w:rsidR="00AD59C6" w:rsidRPr="0089041C" w:rsidRDefault="00AD59C6" w:rsidP="0089041C">
      <w:pPr>
        <w:pStyle w:val="ListParagraph"/>
        <w:rPr>
          <w:rFonts w:cs="Arial"/>
        </w:rPr>
      </w:pPr>
    </w:p>
    <w:p w14:paraId="389D0819" w14:textId="4846DF19" w:rsidR="008E20FC" w:rsidRPr="0021243F" w:rsidRDefault="008E20FC" w:rsidP="002656C8">
      <w:pPr>
        <w:rPr>
          <w:rFonts w:cs="Arial"/>
          <w:b/>
          <w:bCs/>
        </w:rPr>
      </w:pPr>
      <w:r w:rsidRPr="0021243F">
        <w:rPr>
          <w:rFonts w:cs="Arial"/>
          <w:b/>
          <w:bCs/>
        </w:rPr>
        <w:t>Public Health</w:t>
      </w:r>
    </w:p>
    <w:p w14:paraId="56F890D2" w14:textId="77777777" w:rsidR="00EA30B3" w:rsidRPr="0021243F" w:rsidRDefault="00EA30B3" w:rsidP="00EA30B3">
      <w:pPr>
        <w:pStyle w:val="ListParagraph"/>
        <w:rPr>
          <w:rFonts w:eastAsia="Calibri" w:cs="Arial"/>
        </w:rPr>
      </w:pPr>
    </w:p>
    <w:p w14:paraId="23CA7D55" w14:textId="0A765BDA" w:rsidR="00E136DA" w:rsidRPr="00866A76" w:rsidRDefault="00A36B2C" w:rsidP="00AF06B3">
      <w:pPr>
        <w:pStyle w:val="ListParagraph"/>
        <w:numPr>
          <w:ilvl w:val="0"/>
          <w:numId w:val="4"/>
        </w:numPr>
        <w:ind w:left="460" w:hanging="567"/>
        <w:jc w:val="both"/>
        <w:rPr>
          <w:rFonts w:cs="Arial"/>
          <w:b/>
          <w:bCs/>
        </w:rPr>
      </w:pPr>
      <w:r w:rsidRPr="0021243F">
        <w:rPr>
          <w:rFonts w:eastAsia="Calibri" w:cs="Arial"/>
        </w:rPr>
        <w:t xml:space="preserve">As at Q1 </w:t>
      </w:r>
      <w:r w:rsidR="00EA30B3" w:rsidRPr="0021243F">
        <w:rPr>
          <w:rFonts w:eastAsia="Calibri" w:cs="Arial"/>
        </w:rPr>
        <w:t xml:space="preserve">Public </w:t>
      </w:r>
      <w:r w:rsidR="003F2C5D" w:rsidRPr="0021243F">
        <w:rPr>
          <w:rFonts w:cs="Arial"/>
        </w:rPr>
        <w:t>Health is reporting a</w:t>
      </w:r>
      <w:r w:rsidR="008E20FC" w:rsidRPr="0021243F">
        <w:rPr>
          <w:rFonts w:cs="Arial"/>
        </w:rPr>
        <w:t xml:space="preserve"> balanced position</w:t>
      </w:r>
      <w:r w:rsidR="002B67CC" w:rsidRPr="0021243F">
        <w:rPr>
          <w:rFonts w:cs="Arial"/>
        </w:rPr>
        <w:t xml:space="preserve"> after a </w:t>
      </w:r>
      <w:r w:rsidR="008E23C8" w:rsidRPr="0021243F">
        <w:rPr>
          <w:rFonts w:cs="Arial"/>
        </w:rPr>
        <w:t xml:space="preserve">planned </w:t>
      </w:r>
      <w:r w:rsidR="002B67CC" w:rsidRPr="0021243F">
        <w:rPr>
          <w:rFonts w:cs="Arial"/>
        </w:rPr>
        <w:t>draw down of £</w:t>
      </w:r>
      <w:r w:rsidR="004D1EB8" w:rsidRPr="0021243F">
        <w:rPr>
          <w:rFonts w:cs="Arial"/>
        </w:rPr>
        <w:t>377k</w:t>
      </w:r>
      <w:r w:rsidR="002B67CC" w:rsidRPr="0021243F">
        <w:rPr>
          <w:rFonts w:cs="Arial"/>
        </w:rPr>
        <w:t xml:space="preserve"> from the Public Health reserve to fund the continuation of improvement projects and increased funding for wider determinants of health</w:t>
      </w:r>
      <w:r w:rsidR="008E23C8" w:rsidRPr="0021243F">
        <w:rPr>
          <w:rFonts w:cs="Arial"/>
        </w:rPr>
        <w:t>.</w:t>
      </w:r>
    </w:p>
    <w:p w14:paraId="79AE8113" w14:textId="77777777" w:rsidR="00866A76" w:rsidRPr="00866A76" w:rsidRDefault="00866A76" w:rsidP="00866A76">
      <w:pPr>
        <w:pStyle w:val="ListParagraph"/>
        <w:ind w:left="460"/>
        <w:jc w:val="both"/>
        <w:rPr>
          <w:rFonts w:cs="Arial"/>
          <w:b/>
          <w:bCs/>
        </w:rPr>
      </w:pPr>
    </w:p>
    <w:p w14:paraId="15BF7668" w14:textId="5FCFFC86" w:rsidR="00866A76" w:rsidRPr="0021243F" w:rsidRDefault="00866A76" w:rsidP="00AF06B3">
      <w:pPr>
        <w:pStyle w:val="ListParagraph"/>
        <w:numPr>
          <w:ilvl w:val="0"/>
          <w:numId w:val="4"/>
        </w:numPr>
        <w:ind w:left="460" w:hanging="567"/>
        <w:jc w:val="both"/>
        <w:rPr>
          <w:rFonts w:cs="Arial"/>
          <w:b/>
          <w:bCs/>
        </w:rPr>
      </w:pPr>
      <w:r>
        <w:rPr>
          <w:rFonts w:cs="Arial"/>
        </w:rPr>
        <w:t>The impact of the NHS uplift in relation to the Agenda for Change, unfunded by the Government, is expected to be contained within the grant uplift.</w:t>
      </w:r>
    </w:p>
    <w:p w14:paraId="67E72BAD" w14:textId="77777777" w:rsidR="002B67CC" w:rsidRPr="009A55D3" w:rsidRDefault="002B67CC" w:rsidP="001025AD">
      <w:pPr>
        <w:jc w:val="both"/>
        <w:rPr>
          <w:rFonts w:cs="Arial"/>
          <w:b/>
        </w:rPr>
      </w:pPr>
    </w:p>
    <w:p w14:paraId="2F0006DF" w14:textId="32C5C36E" w:rsidR="00E56F07" w:rsidRPr="009A55D3" w:rsidRDefault="00E56F07" w:rsidP="001025AD">
      <w:pPr>
        <w:jc w:val="both"/>
        <w:rPr>
          <w:rFonts w:cs="Arial"/>
          <w:b/>
        </w:rPr>
      </w:pPr>
      <w:r w:rsidRPr="009A55D3">
        <w:rPr>
          <w:rFonts w:cs="Arial"/>
          <w:b/>
        </w:rPr>
        <w:t>Children’s Services</w:t>
      </w:r>
    </w:p>
    <w:p w14:paraId="69980A39" w14:textId="2BE2A53E" w:rsidR="00CE59BC" w:rsidRPr="009A55D3" w:rsidRDefault="00CE59BC" w:rsidP="00CE59BC">
      <w:pPr>
        <w:pStyle w:val="ListParagraph"/>
        <w:ind w:left="567"/>
        <w:jc w:val="both"/>
        <w:rPr>
          <w:rFonts w:cs="Arial"/>
        </w:rPr>
      </w:pPr>
    </w:p>
    <w:bookmarkEnd w:id="4"/>
    <w:p w14:paraId="1D3859D8" w14:textId="48E3B8E2" w:rsidR="00EA30B3" w:rsidRPr="009A55D3" w:rsidRDefault="00A0404D" w:rsidP="00AF06B3">
      <w:pPr>
        <w:pStyle w:val="ListParagraph"/>
        <w:numPr>
          <w:ilvl w:val="0"/>
          <w:numId w:val="4"/>
        </w:numPr>
        <w:ind w:left="460" w:hanging="567"/>
        <w:jc w:val="both"/>
        <w:rPr>
          <w:rFonts w:cs="Arial"/>
          <w:b/>
          <w:bCs/>
        </w:rPr>
      </w:pPr>
      <w:r w:rsidRPr="009A55D3">
        <w:rPr>
          <w:rFonts w:eastAsia="Calibri" w:cs="Arial"/>
        </w:rPr>
        <w:t xml:space="preserve">As at Q1 the service is reporting a </w:t>
      </w:r>
      <w:r w:rsidR="0021243F" w:rsidRPr="009A55D3">
        <w:rPr>
          <w:rFonts w:eastAsia="Calibri" w:cs="Arial"/>
        </w:rPr>
        <w:t>balanced position after drawdown from reserves of £1.160m.</w:t>
      </w:r>
    </w:p>
    <w:p w14:paraId="4B51607C" w14:textId="77777777" w:rsidR="00CB7869" w:rsidRPr="009A55D3" w:rsidRDefault="00CB7869" w:rsidP="00CB7869">
      <w:pPr>
        <w:pStyle w:val="ListParagraph"/>
        <w:ind w:left="460"/>
        <w:jc w:val="both"/>
        <w:rPr>
          <w:rFonts w:cs="Arial"/>
          <w:b/>
          <w:bCs/>
        </w:rPr>
      </w:pPr>
    </w:p>
    <w:p w14:paraId="12DD122A" w14:textId="0CD0773C" w:rsidR="00EA30B3" w:rsidRPr="009A55D3" w:rsidRDefault="00B94016" w:rsidP="00AF06B3">
      <w:pPr>
        <w:pStyle w:val="ListParagraph"/>
        <w:numPr>
          <w:ilvl w:val="0"/>
          <w:numId w:val="4"/>
        </w:numPr>
        <w:ind w:left="460" w:hanging="567"/>
        <w:jc w:val="both"/>
        <w:rPr>
          <w:rFonts w:cs="Arial"/>
          <w:b/>
          <w:bCs/>
        </w:rPr>
      </w:pPr>
      <w:r w:rsidRPr="009A55D3">
        <w:rPr>
          <w:rFonts w:cs="Arial"/>
        </w:rPr>
        <w:t>The main variances are summarised in the following paragraphs</w:t>
      </w:r>
      <w:r w:rsidR="00DC7888" w:rsidRPr="009A55D3">
        <w:rPr>
          <w:rFonts w:cs="Arial"/>
        </w:rPr>
        <w:t xml:space="preserve">. </w:t>
      </w:r>
    </w:p>
    <w:p w14:paraId="460E7D92" w14:textId="77777777" w:rsidR="00EA30B3" w:rsidRPr="009A55D3" w:rsidRDefault="00EA30B3" w:rsidP="00EA30B3">
      <w:pPr>
        <w:pStyle w:val="ListParagraph"/>
        <w:rPr>
          <w:rFonts w:cs="Arial"/>
          <w:b/>
        </w:rPr>
      </w:pPr>
    </w:p>
    <w:p w14:paraId="2B92B891" w14:textId="30CF160A" w:rsidR="00951BDC" w:rsidRPr="009A55D3" w:rsidRDefault="00951BDC" w:rsidP="00AF06B3">
      <w:pPr>
        <w:pStyle w:val="ListParagraph"/>
        <w:numPr>
          <w:ilvl w:val="0"/>
          <w:numId w:val="4"/>
        </w:numPr>
        <w:ind w:left="460" w:hanging="567"/>
        <w:jc w:val="both"/>
        <w:rPr>
          <w:rFonts w:cs="Arial"/>
          <w:b/>
          <w:bCs/>
        </w:rPr>
      </w:pPr>
      <w:r w:rsidRPr="009A55D3">
        <w:rPr>
          <w:rFonts w:cs="Arial"/>
          <w:b/>
          <w:bCs/>
        </w:rPr>
        <w:t xml:space="preserve">Children and Young People Services </w:t>
      </w:r>
      <w:r w:rsidR="00CB7869" w:rsidRPr="009A55D3">
        <w:rPr>
          <w:rFonts w:cs="Arial"/>
        </w:rPr>
        <w:t>– £</w:t>
      </w:r>
      <w:r w:rsidR="0021243F" w:rsidRPr="009A55D3">
        <w:rPr>
          <w:rFonts w:cs="Arial"/>
        </w:rPr>
        <w:t>318k net underspend</w:t>
      </w:r>
    </w:p>
    <w:p w14:paraId="36BF6852" w14:textId="77777777" w:rsidR="00951BDC" w:rsidRPr="009A55D3" w:rsidRDefault="00951BDC" w:rsidP="00951BDC">
      <w:pPr>
        <w:pStyle w:val="ListParagraph"/>
        <w:rPr>
          <w:rFonts w:cs="Arial"/>
          <w:b/>
        </w:rPr>
      </w:pPr>
    </w:p>
    <w:p w14:paraId="5A9F200C" w14:textId="433ECFA1" w:rsidR="0021243F" w:rsidRPr="009A55D3" w:rsidRDefault="001B7238" w:rsidP="00AF06B3">
      <w:pPr>
        <w:pStyle w:val="ListParagraph"/>
        <w:numPr>
          <w:ilvl w:val="1"/>
          <w:numId w:val="4"/>
        </w:numPr>
        <w:ind w:left="1276"/>
        <w:jc w:val="both"/>
        <w:rPr>
          <w:rFonts w:cs="Arial"/>
          <w:b/>
        </w:rPr>
      </w:pPr>
      <w:r w:rsidRPr="009A55D3">
        <w:rPr>
          <w:rFonts w:cs="Arial"/>
          <w:b/>
        </w:rPr>
        <w:t>Children’s Placements &amp; Accommodation</w:t>
      </w:r>
      <w:r w:rsidR="00B94016" w:rsidRPr="009A55D3">
        <w:rPr>
          <w:rFonts w:cs="Arial"/>
          <w:b/>
        </w:rPr>
        <w:t xml:space="preserve"> </w:t>
      </w:r>
      <w:r w:rsidR="00B94016" w:rsidRPr="009A55D3">
        <w:rPr>
          <w:rFonts w:cs="Arial"/>
          <w:bCs/>
        </w:rPr>
        <w:t xml:space="preserve">- </w:t>
      </w:r>
      <w:r w:rsidR="00CB7869" w:rsidRPr="009A55D3">
        <w:rPr>
          <w:rFonts w:cs="Arial"/>
          <w:bCs/>
        </w:rPr>
        <w:t>£</w:t>
      </w:r>
      <w:r w:rsidR="0021243F" w:rsidRPr="009A55D3">
        <w:rPr>
          <w:rFonts w:cs="Arial"/>
          <w:bCs/>
        </w:rPr>
        <w:t>689k</w:t>
      </w:r>
      <w:r w:rsidR="00CB7869" w:rsidRPr="009A55D3">
        <w:rPr>
          <w:rFonts w:cs="Arial"/>
          <w:bCs/>
        </w:rPr>
        <w:t xml:space="preserve"> </w:t>
      </w:r>
      <w:r w:rsidR="00B94016" w:rsidRPr="009A55D3">
        <w:rPr>
          <w:rFonts w:cs="Arial"/>
          <w:bCs/>
        </w:rPr>
        <w:t>net</w:t>
      </w:r>
      <w:r w:rsidRPr="009A55D3">
        <w:rPr>
          <w:rFonts w:cs="Arial"/>
          <w:bCs/>
        </w:rPr>
        <w:t xml:space="preserve"> </w:t>
      </w:r>
      <w:r w:rsidR="0021243F" w:rsidRPr="009A55D3">
        <w:rPr>
          <w:rFonts w:cs="Arial"/>
          <w:bCs/>
        </w:rPr>
        <w:t>under</w:t>
      </w:r>
      <w:r w:rsidRPr="009A55D3">
        <w:rPr>
          <w:rFonts w:cs="Arial"/>
          <w:bCs/>
        </w:rPr>
        <w:t>spend</w:t>
      </w:r>
      <w:r w:rsidR="00AF59F9" w:rsidRPr="009A55D3">
        <w:rPr>
          <w:rFonts w:cs="Arial"/>
          <w:bCs/>
        </w:rPr>
        <w:t xml:space="preserve">. </w:t>
      </w:r>
      <w:r w:rsidR="0021243F" w:rsidRPr="009A55D3">
        <w:rPr>
          <w:rFonts w:cs="Arial"/>
          <w:bCs/>
        </w:rPr>
        <w:t>Permanent growth was added to the placements budget through the 2023-24 MTFS of £3.450m which was based on the estimated number of children and young people requiring accommodation in 2023-24 however this is currently lower than originally projected.</w:t>
      </w:r>
    </w:p>
    <w:p w14:paraId="1B0F06BD" w14:textId="77777777" w:rsidR="0021243F" w:rsidRPr="009A55D3" w:rsidRDefault="0021243F" w:rsidP="0021243F">
      <w:pPr>
        <w:pStyle w:val="ListParagraph"/>
        <w:ind w:left="1276"/>
        <w:jc w:val="both"/>
        <w:rPr>
          <w:rFonts w:cs="Arial"/>
          <w:b/>
        </w:rPr>
      </w:pPr>
    </w:p>
    <w:p w14:paraId="14C9AF1F" w14:textId="542C35CB" w:rsidR="00CB7869" w:rsidRPr="009A55D3" w:rsidRDefault="00CB7869" w:rsidP="00AF06B3">
      <w:pPr>
        <w:pStyle w:val="ListParagraph"/>
        <w:numPr>
          <w:ilvl w:val="1"/>
          <w:numId w:val="4"/>
        </w:numPr>
        <w:ind w:left="1276"/>
        <w:jc w:val="both"/>
        <w:rPr>
          <w:rFonts w:cs="Arial"/>
          <w:b/>
        </w:rPr>
      </w:pPr>
      <w:r w:rsidRPr="009A55D3">
        <w:rPr>
          <w:rFonts w:cs="Arial"/>
          <w:b/>
        </w:rPr>
        <w:t>Frontline Staffing</w:t>
      </w:r>
      <w:r w:rsidRPr="009A55D3">
        <w:rPr>
          <w:rFonts w:cs="Arial"/>
          <w:bCs/>
        </w:rPr>
        <w:t xml:space="preserve"> – £</w:t>
      </w:r>
      <w:r w:rsidR="0021243F" w:rsidRPr="009A55D3">
        <w:rPr>
          <w:rFonts w:cs="Arial"/>
          <w:bCs/>
        </w:rPr>
        <w:t>3</w:t>
      </w:r>
      <w:r w:rsidR="00535A36" w:rsidRPr="009A55D3">
        <w:rPr>
          <w:rFonts w:cs="Arial"/>
          <w:bCs/>
        </w:rPr>
        <w:t>71</w:t>
      </w:r>
      <w:r w:rsidRPr="009A55D3">
        <w:rPr>
          <w:rFonts w:cs="Arial"/>
          <w:bCs/>
        </w:rPr>
        <w:t>k net overspend</w:t>
      </w:r>
      <w:r w:rsidR="0021243F" w:rsidRPr="009A55D3">
        <w:rPr>
          <w:rFonts w:cs="Arial"/>
          <w:bCs/>
        </w:rPr>
        <w:t xml:space="preserve">. The majority of this pressure assumes that the CYPS staffing restructure will not deliver the full savings this financial year. However, the </w:t>
      </w:r>
      <w:r w:rsidR="001B7300">
        <w:rPr>
          <w:rFonts w:cs="Arial"/>
          <w:bCs/>
        </w:rPr>
        <w:t>revised structure as set out</w:t>
      </w:r>
      <w:r w:rsidR="0021243F" w:rsidRPr="009A55D3">
        <w:rPr>
          <w:rFonts w:cs="Arial"/>
          <w:bCs/>
        </w:rPr>
        <w:t xml:space="preserve"> in the consultation will deliver the full savings, if implemented as proposed, and within the projected timescales. </w:t>
      </w:r>
      <w:r w:rsidR="001B7300">
        <w:rPr>
          <w:rFonts w:cs="Arial"/>
          <w:bCs/>
        </w:rPr>
        <w:t xml:space="preserve">This </w:t>
      </w:r>
      <w:r w:rsidR="0021243F" w:rsidRPr="009A55D3">
        <w:rPr>
          <w:rFonts w:cs="Arial"/>
          <w:bCs/>
        </w:rPr>
        <w:t>will not be formally known until the consultation has ended</w:t>
      </w:r>
      <w:r w:rsidR="001B7300">
        <w:rPr>
          <w:rFonts w:cs="Arial"/>
          <w:bCs/>
        </w:rPr>
        <w:t xml:space="preserve"> later this year</w:t>
      </w:r>
      <w:r w:rsidR="0021243F" w:rsidRPr="009A55D3">
        <w:rPr>
          <w:rFonts w:cs="Arial"/>
          <w:bCs/>
        </w:rPr>
        <w:t>.</w:t>
      </w:r>
    </w:p>
    <w:p w14:paraId="6F16A030" w14:textId="77777777" w:rsidR="0021243F" w:rsidRPr="009A55D3" w:rsidRDefault="0021243F" w:rsidP="0021243F">
      <w:pPr>
        <w:jc w:val="both"/>
        <w:rPr>
          <w:rFonts w:cs="Arial"/>
          <w:b/>
        </w:rPr>
      </w:pPr>
    </w:p>
    <w:p w14:paraId="731C182B" w14:textId="0C0821ED" w:rsidR="00951BDC" w:rsidRPr="009A55D3" w:rsidRDefault="00951BDC" w:rsidP="00AF06B3">
      <w:pPr>
        <w:pStyle w:val="ListParagraph"/>
        <w:numPr>
          <w:ilvl w:val="0"/>
          <w:numId w:val="4"/>
        </w:numPr>
        <w:ind w:left="460" w:hanging="567"/>
        <w:jc w:val="both"/>
        <w:rPr>
          <w:rFonts w:cs="Arial"/>
          <w:b/>
          <w:bCs/>
        </w:rPr>
      </w:pPr>
      <w:r w:rsidRPr="009A55D3">
        <w:rPr>
          <w:rFonts w:cs="Arial"/>
          <w:b/>
          <w:bCs/>
        </w:rPr>
        <w:t>Education Services</w:t>
      </w:r>
      <w:r w:rsidR="001B7300">
        <w:rPr>
          <w:rFonts w:cs="Arial"/>
          <w:b/>
          <w:bCs/>
        </w:rPr>
        <w:t xml:space="preserve"> – SEN Transport</w:t>
      </w:r>
      <w:r w:rsidR="0034115E" w:rsidRPr="009A55D3">
        <w:rPr>
          <w:rFonts w:cs="Arial"/>
          <w:b/>
          <w:bCs/>
        </w:rPr>
        <w:t xml:space="preserve"> -</w:t>
      </w:r>
      <w:r w:rsidR="0034115E" w:rsidRPr="009A55D3">
        <w:rPr>
          <w:rFonts w:cs="Arial"/>
        </w:rPr>
        <w:t xml:space="preserve"> £</w:t>
      </w:r>
      <w:r w:rsidR="009A55D3" w:rsidRPr="009A55D3">
        <w:rPr>
          <w:rFonts w:cs="Arial"/>
        </w:rPr>
        <w:t>215</w:t>
      </w:r>
      <w:r w:rsidR="0034115E" w:rsidRPr="009A55D3">
        <w:rPr>
          <w:rFonts w:cs="Arial"/>
        </w:rPr>
        <w:t>k net overspend</w:t>
      </w:r>
      <w:r w:rsidR="009A55D3" w:rsidRPr="009A55D3">
        <w:rPr>
          <w:rFonts w:cs="Arial"/>
        </w:rPr>
        <w:t xml:space="preserve"> due to projected in growth in the number of children and number of routes from the 2023-24 academic year as well as the full year impact of growth in the number of children and routes from the 2022-23 academic year. In addition to this, there are contract inflation pressures linked to the rise in London Living Wage.</w:t>
      </w:r>
    </w:p>
    <w:p w14:paraId="3C9D8AB6" w14:textId="77777777" w:rsidR="00951BDC" w:rsidRPr="009A55D3" w:rsidRDefault="00951BDC" w:rsidP="00951BDC">
      <w:pPr>
        <w:pStyle w:val="ListParagraph"/>
        <w:rPr>
          <w:rFonts w:cs="Arial"/>
          <w:b/>
        </w:rPr>
      </w:pPr>
    </w:p>
    <w:p w14:paraId="4FDFEF0B" w14:textId="6B9D5E22" w:rsidR="00542808" w:rsidRPr="009A55D3" w:rsidRDefault="00951BDC" w:rsidP="00AF06B3">
      <w:pPr>
        <w:pStyle w:val="ListParagraph"/>
        <w:numPr>
          <w:ilvl w:val="0"/>
          <w:numId w:val="4"/>
        </w:numPr>
        <w:suppressAutoHyphens/>
        <w:ind w:left="460" w:hanging="567"/>
        <w:jc w:val="both"/>
        <w:rPr>
          <w:rFonts w:cs="Arial"/>
          <w:b/>
          <w:szCs w:val="24"/>
        </w:rPr>
      </w:pPr>
      <w:r w:rsidRPr="009A55D3">
        <w:rPr>
          <w:rFonts w:cs="Arial"/>
          <w:b/>
        </w:rPr>
        <w:t>Commissioning &amp; People</w:t>
      </w:r>
      <w:r w:rsidR="00B60857" w:rsidRPr="009A55D3">
        <w:rPr>
          <w:rFonts w:cs="Arial"/>
          <w:b/>
        </w:rPr>
        <w:t xml:space="preserve"> Services</w:t>
      </w:r>
      <w:r w:rsidRPr="009A55D3">
        <w:rPr>
          <w:rFonts w:cs="Arial"/>
          <w:b/>
        </w:rPr>
        <w:t xml:space="preserve"> Management </w:t>
      </w:r>
      <w:r w:rsidRPr="009A55D3">
        <w:rPr>
          <w:rFonts w:cs="Arial"/>
          <w:bCs/>
        </w:rPr>
        <w:t xml:space="preserve">– </w:t>
      </w:r>
      <w:r w:rsidR="00B60857" w:rsidRPr="009A55D3">
        <w:rPr>
          <w:rFonts w:cs="Arial"/>
          <w:bCs/>
        </w:rPr>
        <w:t>£1</w:t>
      </w:r>
      <w:r w:rsidR="009A55D3" w:rsidRPr="009A55D3">
        <w:rPr>
          <w:rFonts w:cs="Arial"/>
          <w:bCs/>
        </w:rPr>
        <w:t>03</w:t>
      </w:r>
      <w:r w:rsidR="00B60857" w:rsidRPr="009A55D3">
        <w:rPr>
          <w:rFonts w:cs="Arial"/>
          <w:bCs/>
        </w:rPr>
        <w:t xml:space="preserve">k </w:t>
      </w:r>
      <w:r w:rsidRPr="009A55D3">
        <w:rPr>
          <w:rFonts w:cs="Arial"/>
          <w:bCs/>
        </w:rPr>
        <w:t>net</w:t>
      </w:r>
      <w:r w:rsidR="007C00E4" w:rsidRPr="009A55D3">
        <w:rPr>
          <w:rFonts w:cs="Arial"/>
          <w:bCs/>
        </w:rPr>
        <w:t xml:space="preserve"> </w:t>
      </w:r>
      <w:r w:rsidR="00751C64" w:rsidRPr="009A55D3">
        <w:rPr>
          <w:rFonts w:cs="Arial"/>
          <w:bCs/>
        </w:rPr>
        <w:t>overspend. This</w:t>
      </w:r>
      <w:r w:rsidR="00B60857" w:rsidRPr="009A55D3">
        <w:rPr>
          <w:rFonts w:cs="Arial"/>
          <w:bCs/>
        </w:rPr>
        <w:t xml:space="preserve"> relates staffing pressures in relation to the Mosaic Team </w:t>
      </w:r>
      <w:r w:rsidR="009A55D3" w:rsidRPr="009A55D3">
        <w:rPr>
          <w:rFonts w:cs="Arial"/>
          <w:bCs/>
        </w:rPr>
        <w:t xml:space="preserve">and the </w:t>
      </w:r>
      <w:r w:rsidR="00B60857" w:rsidRPr="009A55D3">
        <w:rPr>
          <w:rFonts w:cs="Arial"/>
          <w:bCs/>
        </w:rPr>
        <w:t>Safeguarding Team</w:t>
      </w:r>
    </w:p>
    <w:p w14:paraId="745F4D14" w14:textId="77777777" w:rsidR="00542808" w:rsidRPr="002A3927" w:rsidRDefault="00542808" w:rsidP="00542808">
      <w:pPr>
        <w:pStyle w:val="ListParagraph"/>
        <w:suppressAutoHyphens/>
        <w:ind w:left="460"/>
        <w:jc w:val="both"/>
        <w:rPr>
          <w:rFonts w:cs="Arial"/>
          <w:b/>
          <w:szCs w:val="24"/>
        </w:rPr>
      </w:pPr>
    </w:p>
    <w:p w14:paraId="379FCB9A" w14:textId="5CE26591" w:rsidR="00542808" w:rsidRPr="002A3927" w:rsidRDefault="00542808" w:rsidP="001B7300">
      <w:pPr>
        <w:pStyle w:val="ListParagraph"/>
        <w:suppressAutoHyphens/>
        <w:ind w:left="460"/>
        <w:jc w:val="both"/>
        <w:rPr>
          <w:rFonts w:cs="Arial"/>
          <w:b/>
          <w:szCs w:val="24"/>
        </w:rPr>
      </w:pPr>
      <w:r w:rsidRPr="002A3927">
        <w:rPr>
          <w:rFonts w:cs="Arial"/>
          <w:b/>
          <w:szCs w:val="24"/>
        </w:rPr>
        <w:t>Dedicated Schools Grant</w:t>
      </w:r>
    </w:p>
    <w:p w14:paraId="6388318C" w14:textId="77777777" w:rsidR="00542808" w:rsidRPr="002A3927" w:rsidRDefault="00542808" w:rsidP="00542808">
      <w:pPr>
        <w:pStyle w:val="ListParagraph"/>
        <w:suppressAutoHyphens/>
        <w:ind w:left="460"/>
        <w:jc w:val="both"/>
        <w:rPr>
          <w:rFonts w:cs="Arial"/>
          <w:b/>
          <w:szCs w:val="24"/>
        </w:rPr>
      </w:pPr>
    </w:p>
    <w:p w14:paraId="4F15D122" w14:textId="2814BA1E" w:rsidR="00542808" w:rsidRPr="002A3927" w:rsidRDefault="00EA30B3" w:rsidP="00AF06B3">
      <w:pPr>
        <w:pStyle w:val="ListParagraph"/>
        <w:numPr>
          <w:ilvl w:val="0"/>
          <w:numId w:val="4"/>
        </w:numPr>
        <w:suppressAutoHyphens/>
        <w:ind w:left="426" w:hanging="567"/>
        <w:jc w:val="both"/>
        <w:rPr>
          <w:rFonts w:cs="Arial"/>
        </w:rPr>
      </w:pPr>
      <w:r w:rsidRPr="002A3927">
        <w:rPr>
          <w:rFonts w:cs="Arial"/>
          <w:szCs w:val="24"/>
        </w:rPr>
        <w:t>The Dedicated</w:t>
      </w:r>
      <w:r w:rsidR="00DC7888" w:rsidRPr="002A3927">
        <w:rPr>
          <w:rFonts w:cs="Arial"/>
          <w:szCs w:val="24"/>
        </w:rPr>
        <w:t xml:space="preserve"> Schools Grant (DSG) is a ring-fenced grant of which the maj</w:t>
      </w:r>
      <w:r w:rsidR="00B60857" w:rsidRPr="002A3927">
        <w:rPr>
          <w:rFonts w:cs="Arial"/>
          <w:szCs w:val="24"/>
        </w:rPr>
        <w:t>o</w:t>
      </w:r>
      <w:r w:rsidR="00DC7888" w:rsidRPr="002A3927">
        <w:rPr>
          <w:rFonts w:cs="Arial"/>
          <w:szCs w:val="24"/>
        </w:rPr>
        <w:t xml:space="preserve">rity is used to fund individual school budgets in maintained schools, </w:t>
      </w:r>
      <w:r w:rsidR="00751C64" w:rsidRPr="002A3927">
        <w:rPr>
          <w:rFonts w:cs="Arial"/>
          <w:szCs w:val="24"/>
        </w:rPr>
        <w:t>academies,</w:t>
      </w:r>
      <w:r w:rsidR="00DC7888" w:rsidRPr="002A3927">
        <w:rPr>
          <w:rFonts w:cs="Arial"/>
          <w:szCs w:val="24"/>
        </w:rPr>
        <w:t xml:space="preserve"> and </w:t>
      </w:r>
      <w:r w:rsidR="00DC7888" w:rsidRPr="002A3927">
        <w:rPr>
          <w:rFonts w:cs="Arial"/>
          <w:szCs w:val="24"/>
        </w:rPr>
        <w:lastRenderedPageBreak/>
        <w:t xml:space="preserve">free schools in Harrow. It also funds Early Years nursery free entitlement places for </w:t>
      </w:r>
      <w:r w:rsidR="00751C64" w:rsidRPr="002A3927">
        <w:rPr>
          <w:rFonts w:cs="Arial"/>
          <w:szCs w:val="24"/>
        </w:rPr>
        <w:t>2-, 3- and 4-year-olds</w:t>
      </w:r>
      <w:r w:rsidR="00DC7888" w:rsidRPr="002A3927">
        <w:rPr>
          <w:rFonts w:cs="Arial"/>
          <w:szCs w:val="24"/>
        </w:rPr>
        <w:t xml:space="preserve"> in maintained council nursery classes and private, </w:t>
      </w:r>
      <w:r w:rsidR="00751C64" w:rsidRPr="002A3927">
        <w:rPr>
          <w:rFonts w:cs="Arial"/>
          <w:szCs w:val="24"/>
        </w:rPr>
        <w:t>voluntary,</w:t>
      </w:r>
      <w:r w:rsidR="00DC7888" w:rsidRPr="002A3927">
        <w:rPr>
          <w:rFonts w:cs="Arial"/>
          <w:szCs w:val="24"/>
        </w:rPr>
        <w:t xml:space="preserve"> and independent (PVI) nurseries as well as provision for pupils with High Needs</w:t>
      </w:r>
      <w:r w:rsidR="00542808" w:rsidRPr="002A3927">
        <w:rPr>
          <w:rFonts w:cs="Arial"/>
          <w:szCs w:val="24"/>
        </w:rPr>
        <w:t>.</w:t>
      </w:r>
    </w:p>
    <w:p w14:paraId="3E299E82" w14:textId="77777777" w:rsidR="00542808" w:rsidRPr="00541017" w:rsidRDefault="00542808" w:rsidP="00542808">
      <w:pPr>
        <w:pStyle w:val="ListParagraph"/>
        <w:suppressAutoHyphens/>
        <w:ind w:left="426"/>
        <w:jc w:val="both"/>
        <w:rPr>
          <w:rFonts w:cs="Arial"/>
          <w:color w:val="FF0000"/>
        </w:rPr>
      </w:pPr>
    </w:p>
    <w:p w14:paraId="677672BD" w14:textId="395B9484" w:rsidR="00542808" w:rsidRPr="002A3927" w:rsidRDefault="00542808" w:rsidP="00AF06B3">
      <w:pPr>
        <w:pStyle w:val="ListParagraph"/>
        <w:numPr>
          <w:ilvl w:val="0"/>
          <w:numId w:val="4"/>
        </w:numPr>
        <w:suppressAutoHyphens/>
        <w:ind w:left="426" w:hanging="567"/>
        <w:jc w:val="both"/>
        <w:rPr>
          <w:rFonts w:cs="Arial"/>
        </w:rPr>
      </w:pPr>
      <w:r w:rsidRPr="002A3927">
        <w:rPr>
          <w:rFonts w:cs="Arial"/>
        </w:rPr>
        <w:t>There is a projected overspend on the High Needs Block of £</w:t>
      </w:r>
      <w:r w:rsidR="002A3927" w:rsidRPr="002A3927">
        <w:rPr>
          <w:rFonts w:cs="Arial"/>
        </w:rPr>
        <w:t>2.003</w:t>
      </w:r>
      <w:r w:rsidRPr="002A3927">
        <w:rPr>
          <w:rFonts w:cs="Arial"/>
        </w:rPr>
        <w:t>m in 202</w:t>
      </w:r>
      <w:r w:rsidR="002A3927" w:rsidRPr="002A3927">
        <w:rPr>
          <w:rFonts w:cs="Arial"/>
        </w:rPr>
        <w:t>3-24</w:t>
      </w:r>
      <w:r w:rsidRPr="002A3927">
        <w:rPr>
          <w:rFonts w:cs="Arial"/>
        </w:rPr>
        <w:t xml:space="preserve"> which added to the cumulative deficit of £</w:t>
      </w:r>
      <w:r w:rsidR="002A3927" w:rsidRPr="002A3927">
        <w:rPr>
          <w:rFonts w:cs="Arial"/>
        </w:rPr>
        <w:t>2.623</w:t>
      </w:r>
      <w:r w:rsidRPr="002A3927">
        <w:rPr>
          <w:rFonts w:cs="Arial"/>
        </w:rPr>
        <w:t>m brought forward from previous years will take the total projected deficit at the end of March 202</w:t>
      </w:r>
      <w:r w:rsidR="002A3927" w:rsidRPr="002A3927">
        <w:rPr>
          <w:rFonts w:cs="Arial"/>
        </w:rPr>
        <w:t>4</w:t>
      </w:r>
      <w:r w:rsidRPr="002A3927">
        <w:rPr>
          <w:rFonts w:cs="Arial"/>
        </w:rPr>
        <w:t xml:space="preserve"> to £</w:t>
      </w:r>
      <w:r w:rsidR="002A3927" w:rsidRPr="002A3927">
        <w:rPr>
          <w:rFonts w:cs="Arial"/>
        </w:rPr>
        <w:t>4.626m</w:t>
      </w:r>
      <w:r w:rsidRPr="002A3927">
        <w:rPr>
          <w:rFonts w:cs="Arial"/>
        </w:rPr>
        <w:t>.</w:t>
      </w:r>
    </w:p>
    <w:p w14:paraId="7284A2D9" w14:textId="77777777" w:rsidR="002A3927" w:rsidRPr="002A3927" w:rsidRDefault="002A3927" w:rsidP="002A3927">
      <w:pPr>
        <w:pStyle w:val="ListParagraph"/>
        <w:suppressAutoHyphens/>
        <w:ind w:left="426"/>
        <w:jc w:val="both"/>
        <w:rPr>
          <w:rFonts w:cs="Arial"/>
        </w:rPr>
      </w:pPr>
    </w:p>
    <w:p w14:paraId="3472CB21" w14:textId="2FE261CE" w:rsidR="00542808" w:rsidRPr="002A3927" w:rsidRDefault="00542808" w:rsidP="00AF06B3">
      <w:pPr>
        <w:pStyle w:val="ListParagraph"/>
        <w:numPr>
          <w:ilvl w:val="0"/>
          <w:numId w:val="4"/>
        </w:numPr>
        <w:suppressAutoHyphens/>
        <w:ind w:left="426" w:hanging="567"/>
        <w:jc w:val="both"/>
        <w:rPr>
          <w:rFonts w:cs="Arial"/>
        </w:rPr>
      </w:pPr>
      <w:r w:rsidRPr="002A3927">
        <w:rPr>
          <w:rFonts w:cs="Arial"/>
        </w:rPr>
        <w:t xml:space="preserve">Any deficits an authority may have on its DSG account is expected to be carried forward and does not allow or require a local authority to cover this from its general reserves. This is a </w:t>
      </w:r>
      <w:r w:rsidR="002A3927" w:rsidRPr="002A3927">
        <w:rPr>
          <w:rFonts w:cs="Arial"/>
        </w:rPr>
        <w:t>fixed term</w:t>
      </w:r>
      <w:r w:rsidRPr="002A3927">
        <w:rPr>
          <w:rFonts w:cs="Arial"/>
        </w:rPr>
        <w:t xml:space="preserve"> arrangement ending in March 202</w:t>
      </w:r>
      <w:r w:rsidR="002A3927" w:rsidRPr="002A3927">
        <w:rPr>
          <w:rFonts w:cs="Arial"/>
        </w:rPr>
        <w:t>6</w:t>
      </w:r>
      <w:r w:rsidRPr="002A3927">
        <w:rPr>
          <w:rFonts w:cs="Arial"/>
        </w:rPr>
        <w:t>.</w:t>
      </w:r>
    </w:p>
    <w:p w14:paraId="32E77819" w14:textId="77777777" w:rsidR="00542808" w:rsidRPr="00541017" w:rsidRDefault="00542808" w:rsidP="00542808">
      <w:pPr>
        <w:pStyle w:val="ListParagraph"/>
        <w:rPr>
          <w:rFonts w:cs="Arial"/>
          <w:color w:val="FF0000"/>
        </w:rPr>
      </w:pPr>
    </w:p>
    <w:p w14:paraId="12AC2D97" w14:textId="1D233A6C" w:rsidR="00542808" w:rsidRPr="002A3927" w:rsidRDefault="00542808" w:rsidP="00AF06B3">
      <w:pPr>
        <w:pStyle w:val="ListParagraph"/>
        <w:numPr>
          <w:ilvl w:val="0"/>
          <w:numId w:val="4"/>
        </w:numPr>
        <w:suppressAutoHyphens/>
        <w:ind w:left="426" w:hanging="567"/>
        <w:jc w:val="both"/>
        <w:rPr>
          <w:rFonts w:cs="Arial"/>
        </w:rPr>
      </w:pPr>
      <w:r w:rsidRPr="002A3927">
        <w:rPr>
          <w:rFonts w:cs="Arial"/>
        </w:rPr>
        <w:t>The DfE requires local authorities to explain their plans for bringing the DSG account back into balance. A</w:t>
      </w:r>
      <w:r w:rsidR="002A3927" w:rsidRPr="002A3927">
        <w:rPr>
          <w:rFonts w:cs="Arial"/>
        </w:rPr>
        <w:t xml:space="preserve">n updated </w:t>
      </w:r>
      <w:r w:rsidRPr="002A3927">
        <w:rPr>
          <w:rFonts w:cs="Arial"/>
        </w:rPr>
        <w:t xml:space="preserve">recovery plan </w:t>
      </w:r>
      <w:r w:rsidR="002A3927" w:rsidRPr="002A3927">
        <w:rPr>
          <w:rFonts w:cs="Arial"/>
        </w:rPr>
        <w:t>is being drafted with the latest projections and will align with the updated SEND Strategy being presented to Cabinet later this year.</w:t>
      </w:r>
      <w:r w:rsidRPr="002A3927">
        <w:rPr>
          <w:rFonts w:cs="Arial"/>
        </w:rPr>
        <w:t xml:space="preserve"> Despite the significant proposals and measures planned over the next ten years, </w:t>
      </w:r>
      <w:r w:rsidR="002A3927" w:rsidRPr="002A3927">
        <w:rPr>
          <w:rFonts w:cs="Arial"/>
        </w:rPr>
        <w:t xml:space="preserve">it is unlikely that the plan </w:t>
      </w:r>
      <w:r w:rsidRPr="002A3927">
        <w:rPr>
          <w:rFonts w:cs="Arial"/>
        </w:rPr>
        <w:t>will fully mitigate the deficit. This is due to the following contributory factors:</w:t>
      </w:r>
    </w:p>
    <w:p w14:paraId="725DA905" w14:textId="77777777" w:rsidR="00542808" w:rsidRPr="002A3927" w:rsidRDefault="00542808" w:rsidP="00542808">
      <w:pPr>
        <w:pStyle w:val="ListParagraph"/>
        <w:suppressAutoHyphens/>
        <w:ind w:left="567"/>
        <w:rPr>
          <w:rFonts w:cs="Arial"/>
        </w:rPr>
      </w:pPr>
    </w:p>
    <w:p w14:paraId="0E2A1EFE" w14:textId="77777777" w:rsidR="00542808" w:rsidRPr="002A3927" w:rsidRDefault="00542808" w:rsidP="00AF06B3">
      <w:pPr>
        <w:pStyle w:val="ListParagraph"/>
        <w:numPr>
          <w:ilvl w:val="0"/>
          <w:numId w:val="18"/>
        </w:numPr>
        <w:spacing w:after="200" w:line="276" w:lineRule="auto"/>
        <w:ind w:hanging="589"/>
        <w:contextualSpacing/>
        <w:rPr>
          <w:rFonts w:cs="Arial"/>
        </w:rPr>
      </w:pPr>
      <w:r w:rsidRPr="002A3927">
        <w:rPr>
          <w:rFonts w:cs="Arial"/>
        </w:rPr>
        <w:t>historical underfunding</w:t>
      </w:r>
    </w:p>
    <w:p w14:paraId="00F39D04" w14:textId="77777777" w:rsidR="00542808" w:rsidRPr="002A3927" w:rsidRDefault="00542808" w:rsidP="00AF06B3">
      <w:pPr>
        <w:pStyle w:val="ListParagraph"/>
        <w:numPr>
          <w:ilvl w:val="0"/>
          <w:numId w:val="18"/>
        </w:numPr>
        <w:spacing w:after="200" w:line="276" w:lineRule="auto"/>
        <w:ind w:hanging="589"/>
        <w:contextualSpacing/>
        <w:rPr>
          <w:rFonts w:cs="Arial"/>
        </w:rPr>
      </w:pPr>
      <w:r w:rsidRPr="002A3927">
        <w:rPr>
          <w:rFonts w:cs="Arial"/>
        </w:rPr>
        <w:t>current budgets being based on historical budgets rather than historical spend</w:t>
      </w:r>
    </w:p>
    <w:p w14:paraId="1CDB5269" w14:textId="77777777" w:rsidR="00542808" w:rsidRPr="002A3927" w:rsidRDefault="00542808" w:rsidP="00AF06B3">
      <w:pPr>
        <w:pStyle w:val="ListParagraph"/>
        <w:numPr>
          <w:ilvl w:val="0"/>
          <w:numId w:val="18"/>
        </w:numPr>
        <w:spacing w:after="200" w:line="276" w:lineRule="auto"/>
        <w:ind w:hanging="589"/>
        <w:contextualSpacing/>
        <w:rPr>
          <w:rFonts w:cs="Arial"/>
        </w:rPr>
      </w:pPr>
      <w:r w:rsidRPr="002A3927">
        <w:rPr>
          <w:rFonts w:cs="Arial"/>
        </w:rPr>
        <w:t>extension of age range to include 0-5 and post 19</w:t>
      </w:r>
    </w:p>
    <w:p w14:paraId="24F54337" w14:textId="77777777" w:rsidR="00542808" w:rsidRPr="002A3927" w:rsidRDefault="00542808" w:rsidP="00AF06B3">
      <w:pPr>
        <w:pStyle w:val="ListParagraph"/>
        <w:numPr>
          <w:ilvl w:val="0"/>
          <w:numId w:val="18"/>
        </w:numPr>
        <w:spacing w:after="200" w:line="276" w:lineRule="auto"/>
        <w:ind w:hanging="589"/>
        <w:contextualSpacing/>
        <w:rPr>
          <w:rFonts w:cs="Arial"/>
        </w:rPr>
      </w:pPr>
      <w:r w:rsidRPr="002A3927">
        <w:rPr>
          <w:rFonts w:cs="Arial"/>
        </w:rPr>
        <w:t>current and projected formulaic funding which does not keep pace with demand</w:t>
      </w:r>
    </w:p>
    <w:p w14:paraId="70205561" w14:textId="77777777" w:rsidR="00542808" w:rsidRPr="002A3927" w:rsidRDefault="00542808" w:rsidP="00AF06B3">
      <w:pPr>
        <w:pStyle w:val="ListParagraph"/>
        <w:numPr>
          <w:ilvl w:val="0"/>
          <w:numId w:val="18"/>
        </w:numPr>
        <w:spacing w:after="200" w:line="276" w:lineRule="auto"/>
        <w:ind w:hanging="589"/>
        <w:contextualSpacing/>
        <w:rPr>
          <w:rFonts w:cs="Arial"/>
        </w:rPr>
      </w:pPr>
      <w:r w:rsidRPr="002A3927">
        <w:rPr>
          <w:rFonts w:cs="Arial"/>
        </w:rPr>
        <w:t>significant historical and projected growth in number of EHCPs</w:t>
      </w:r>
    </w:p>
    <w:p w14:paraId="23785BDE" w14:textId="77777777" w:rsidR="00542808" w:rsidRPr="002A3927" w:rsidRDefault="00542808" w:rsidP="00AF06B3">
      <w:pPr>
        <w:pStyle w:val="ListParagraph"/>
        <w:numPr>
          <w:ilvl w:val="0"/>
          <w:numId w:val="18"/>
        </w:numPr>
        <w:spacing w:after="200" w:line="276" w:lineRule="auto"/>
        <w:ind w:hanging="589"/>
        <w:contextualSpacing/>
        <w:rPr>
          <w:rFonts w:cs="Arial"/>
        </w:rPr>
      </w:pPr>
      <w:r w:rsidRPr="002A3927">
        <w:rPr>
          <w:rFonts w:cs="Arial"/>
        </w:rPr>
        <w:t>continued growth in complexity of pupils’ needs</w:t>
      </w:r>
    </w:p>
    <w:p w14:paraId="5B692BFD" w14:textId="77777777" w:rsidR="00542808" w:rsidRPr="002A3927" w:rsidRDefault="00542808" w:rsidP="00AF06B3">
      <w:pPr>
        <w:pStyle w:val="ListParagraph"/>
        <w:numPr>
          <w:ilvl w:val="0"/>
          <w:numId w:val="18"/>
        </w:numPr>
        <w:spacing w:after="200"/>
        <w:ind w:hanging="589"/>
        <w:contextualSpacing/>
        <w:rPr>
          <w:rFonts w:cs="Arial"/>
          <w:i/>
        </w:rPr>
      </w:pPr>
      <w:r w:rsidRPr="002A3927">
        <w:rPr>
          <w:rFonts w:cs="Arial"/>
        </w:rPr>
        <w:t>limitations about creating cost effective provision in borough due to capacity and site limitations</w:t>
      </w:r>
    </w:p>
    <w:p w14:paraId="39B29388" w14:textId="6CC968AB" w:rsidR="00A1516C" w:rsidRPr="00541017" w:rsidRDefault="00A1516C" w:rsidP="00542808">
      <w:pPr>
        <w:pStyle w:val="ListParagraph"/>
        <w:ind w:left="460"/>
        <w:jc w:val="both"/>
        <w:rPr>
          <w:rFonts w:cs="Arial"/>
          <w:b/>
          <w:bCs/>
          <w:color w:val="FF0000"/>
          <w:szCs w:val="24"/>
        </w:rPr>
      </w:pPr>
    </w:p>
    <w:p w14:paraId="15C97827" w14:textId="7B9A2FD1" w:rsidR="00672697" w:rsidRPr="00AD59C6" w:rsidRDefault="00672697" w:rsidP="000D6CA4">
      <w:pPr>
        <w:ind w:firstLine="567"/>
        <w:jc w:val="both"/>
        <w:rPr>
          <w:rFonts w:cs="Arial"/>
        </w:rPr>
      </w:pPr>
      <w:r w:rsidRPr="00AD59C6">
        <w:rPr>
          <w:rFonts w:cs="Arial"/>
          <w:b/>
          <w:bCs/>
          <w:szCs w:val="24"/>
        </w:rPr>
        <w:t xml:space="preserve">CORPORATE AND TECHNICAL </w:t>
      </w:r>
    </w:p>
    <w:p w14:paraId="3FA08C2B" w14:textId="77777777" w:rsidR="00EA30B3" w:rsidRPr="00AD59C6" w:rsidRDefault="00EA30B3" w:rsidP="00EA30B3">
      <w:pPr>
        <w:pStyle w:val="ListParagraph"/>
        <w:rPr>
          <w:rFonts w:cs="Arial"/>
          <w:szCs w:val="24"/>
        </w:rPr>
      </w:pPr>
    </w:p>
    <w:p w14:paraId="4BAAF0E6" w14:textId="2101F4CE" w:rsidR="00B37833" w:rsidRPr="00AD59C6" w:rsidRDefault="00E971A9" w:rsidP="00AF06B3">
      <w:pPr>
        <w:pStyle w:val="ListParagraph"/>
        <w:numPr>
          <w:ilvl w:val="0"/>
          <w:numId w:val="4"/>
        </w:numPr>
        <w:ind w:left="460" w:hanging="567"/>
        <w:jc w:val="both"/>
        <w:rPr>
          <w:rFonts w:cs="Arial"/>
          <w:b/>
          <w:bCs/>
        </w:rPr>
      </w:pPr>
      <w:r w:rsidRPr="00AD59C6">
        <w:rPr>
          <w:rFonts w:cs="Arial"/>
          <w:szCs w:val="24"/>
        </w:rPr>
        <w:t>As at Q1 the forecast for Corporate &amp; Technical budgets is a net underspend of £</w:t>
      </w:r>
      <w:r w:rsidR="00AD59C6" w:rsidRPr="00AD59C6">
        <w:rPr>
          <w:rFonts w:cs="Arial"/>
          <w:szCs w:val="24"/>
        </w:rPr>
        <w:t>4.773</w:t>
      </w:r>
      <w:r w:rsidRPr="00AD59C6">
        <w:rPr>
          <w:rFonts w:cs="Arial"/>
          <w:szCs w:val="24"/>
        </w:rPr>
        <w:t xml:space="preserve"> </w:t>
      </w:r>
      <w:r w:rsidR="00672697" w:rsidRPr="00AD59C6">
        <w:rPr>
          <w:rFonts w:cs="Arial"/>
          <w:szCs w:val="24"/>
        </w:rPr>
        <w:t>as detailed below</w:t>
      </w:r>
      <w:r w:rsidR="0043268A" w:rsidRPr="00AD59C6">
        <w:rPr>
          <w:rFonts w:cs="Arial"/>
          <w:szCs w:val="24"/>
        </w:rPr>
        <w:t>.</w:t>
      </w:r>
      <w:r w:rsidR="00EA30B3" w:rsidRPr="00AD59C6">
        <w:rPr>
          <w:rFonts w:cs="Arial"/>
          <w:szCs w:val="24"/>
        </w:rPr>
        <w:t xml:space="preserve"> </w:t>
      </w:r>
    </w:p>
    <w:p w14:paraId="2EC70535" w14:textId="77777777" w:rsidR="00B37833" w:rsidRPr="00AD59C6" w:rsidRDefault="00B37833" w:rsidP="00B37833">
      <w:pPr>
        <w:pStyle w:val="ListParagraph"/>
        <w:ind w:left="460"/>
        <w:jc w:val="both"/>
        <w:rPr>
          <w:rFonts w:cs="Arial"/>
          <w:b/>
          <w:bCs/>
        </w:rPr>
      </w:pPr>
    </w:p>
    <w:p w14:paraId="046A0CF1" w14:textId="77E8886F" w:rsidR="00EA6BA3" w:rsidRPr="00AD59C6" w:rsidRDefault="00EA6BA3" w:rsidP="00B37833">
      <w:pPr>
        <w:pStyle w:val="ListParagraph"/>
        <w:ind w:left="460"/>
        <w:jc w:val="both"/>
        <w:rPr>
          <w:rFonts w:cs="Arial"/>
          <w:b/>
          <w:bCs/>
        </w:rPr>
      </w:pPr>
      <w:r w:rsidRPr="00AD59C6">
        <w:rPr>
          <w:rFonts w:cs="Arial"/>
          <w:b/>
          <w:bCs/>
        </w:rPr>
        <w:t>Corporate Items</w:t>
      </w:r>
    </w:p>
    <w:p w14:paraId="74309101" w14:textId="1AEBFBF2" w:rsidR="00CE59BC" w:rsidRPr="00AD59C6" w:rsidRDefault="00CE59BC" w:rsidP="00CE59BC">
      <w:pPr>
        <w:pStyle w:val="ListParagraph"/>
        <w:ind w:left="567"/>
        <w:jc w:val="both"/>
        <w:rPr>
          <w:rFonts w:cs="Arial"/>
          <w:bCs/>
          <w:szCs w:val="24"/>
        </w:rPr>
      </w:pPr>
    </w:p>
    <w:p w14:paraId="38C408FA" w14:textId="7C630A5E" w:rsidR="00FD4F48" w:rsidRPr="00BF4154" w:rsidRDefault="00E971A9" w:rsidP="00BF4154">
      <w:pPr>
        <w:pStyle w:val="ListParagraph"/>
        <w:numPr>
          <w:ilvl w:val="0"/>
          <w:numId w:val="4"/>
        </w:numPr>
        <w:ind w:left="460" w:hanging="567"/>
        <w:jc w:val="both"/>
        <w:rPr>
          <w:rFonts w:cs="Arial"/>
          <w:b/>
          <w:bCs/>
        </w:rPr>
      </w:pPr>
      <w:r w:rsidRPr="00AD59C6">
        <w:rPr>
          <w:rFonts w:cs="Arial"/>
          <w:szCs w:val="24"/>
        </w:rPr>
        <w:t xml:space="preserve">As at Q1 the forecast is </w:t>
      </w:r>
      <w:r w:rsidR="00AD59C6" w:rsidRPr="00AD59C6">
        <w:rPr>
          <w:rFonts w:cs="Arial"/>
          <w:szCs w:val="24"/>
        </w:rPr>
        <w:t>a net underspend of £2.270m</w:t>
      </w:r>
      <w:r w:rsidR="00BF4154">
        <w:rPr>
          <w:rFonts w:cs="Arial"/>
          <w:szCs w:val="24"/>
        </w:rPr>
        <w:t xml:space="preserve"> on the Corporate items</w:t>
      </w:r>
      <w:r w:rsidR="00AD59C6" w:rsidRPr="00AD59C6">
        <w:rPr>
          <w:rFonts w:cs="Arial"/>
          <w:szCs w:val="24"/>
        </w:rPr>
        <w:t xml:space="preserve">. This includes a draw down from the Children’s Social Care Reserve of £1m. This funding was originally planned to be drawn down in 2022-23 to offset Children’s Services pressures however was not required and is therefore uncommitted and available to support overall council pressures. In addition, there is £2.4m rebate from the West London Waste Authority </w:t>
      </w:r>
      <w:r w:rsidR="00CB4289">
        <w:rPr>
          <w:rFonts w:cs="Arial"/>
          <w:szCs w:val="24"/>
        </w:rPr>
        <w:t xml:space="preserve">from the sale of electricity </w:t>
      </w:r>
      <w:r w:rsidR="00AD59C6" w:rsidRPr="00AD59C6">
        <w:rPr>
          <w:rFonts w:cs="Arial"/>
          <w:szCs w:val="24"/>
        </w:rPr>
        <w:t>of which £1.4m will be used to manage overall council pressures and the remaining £1m added to the Place MTFS Implementation reserve to support the Place directorate with delivery of savings in the MTFS.</w:t>
      </w:r>
    </w:p>
    <w:p w14:paraId="35C0F85B" w14:textId="77777777" w:rsidR="00FD4F48" w:rsidRDefault="00FD4F48" w:rsidP="00AD59C6">
      <w:pPr>
        <w:pStyle w:val="ListParagraph"/>
        <w:ind w:left="460"/>
        <w:jc w:val="both"/>
        <w:rPr>
          <w:rFonts w:cs="Arial"/>
          <w:szCs w:val="24"/>
        </w:rPr>
      </w:pPr>
    </w:p>
    <w:p w14:paraId="3FFE07D2" w14:textId="7070C38E" w:rsidR="00AD59C6" w:rsidRPr="0086724B" w:rsidRDefault="00AD59C6" w:rsidP="00AD59C6">
      <w:pPr>
        <w:pStyle w:val="ListParagraph"/>
        <w:ind w:left="460"/>
        <w:jc w:val="both"/>
        <w:rPr>
          <w:rFonts w:cs="Arial"/>
          <w:b/>
          <w:bCs/>
        </w:rPr>
      </w:pPr>
      <w:r w:rsidRPr="0086724B">
        <w:rPr>
          <w:rFonts w:cs="Arial"/>
          <w:b/>
          <w:bCs/>
          <w:szCs w:val="24"/>
        </w:rPr>
        <w:t>Contingency for Unforeseen Items</w:t>
      </w:r>
    </w:p>
    <w:p w14:paraId="7D8ADC76" w14:textId="77777777" w:rsidR="0086724B" w:rsidRPr="0086724B" w:rsidRDefault="0086724B" w:rsidP="0086724B">
      <w:pPr>
        <w:pStyle w:val="ListParagraph"/>
        <w:ind w:left="460"/>
        <w:jc w:val="both"/>
        <w:rPr>
          <w:rFonts w:cs="Arial"/>
          <w:b/>
          <w:bCs/>
        </w:rPr>
      </w:pPr>
    </w:p>
    <w:p w14:paraId="57123A53" w14:textId="47AE1C92" w:rsidR="00AD59C6" w:rsidRPr="00AD59C6" w:rsidRDefault="00AD59C6" w:rsidP="00AD59C6">
      <w:pPr>
        <w:pStyle w:val="ListParagraph"/>
        <w:numPr>
          <w:ilvl w:val="0"/>
          <w:numId w:val="4"/>
        </w:numPr>
        <w:ind w:left="460" w:hanging="567"/>
        <w:jc w:val="both"/>
        <w:rPr>
          <w:rFonts w:cs="Arial"/>
          <w:b/>
          <w:bCs/>
        </w:rPr>
      </w:pPr>
      <w:r>
        <w:rPr>
          <w:rFonts w:cs="Arial"/>
        </w:rPr>
        <w:t xml:space="preserve">As at Q1 the forecast is a net underspend of £1.248m as this budget </w:t>
      </w:r>
      <w:r w:rsidR="0086724B">
        <w:rPr>
          <w:rFonts w:cs="Arial"/>
        </w:rPr>
        <w:t>is uncommitted and will be used to manage overall council pressures.</w:t>
      </w:r>
    </w:p>
    <w:p w14:paraId="2EBA3E4F" w14:textId="77777777" w:rsidR="00E971A9" w:rsidRPr="00541017" w:rsidRDefault="00E971A9" w:rsidP="00E971A9">
      <w:pPr>
        <w:pStyle w:val="ListParagraph"/>
        <w:ind w:left="460"/>
        <w:jc w:val="both"/>
        <w:rPr>
          <w:rFonts w:cs="Arial"/>
          <w:b/>
          <w:bCs/>
          <w:color w:val="FF0000"/>
        </w:rPr>
      </w:pPr>
    </w:p>
    <w:p w14:paraId="70E57943" w14:textId="3E4740CF" w:rsidR="004558FE" w:rsidRPr="0086724B" w:rsidRDefault="004558FE" w:rsidP="004558FE">
      <w:pPr>
        <w:pStyle w:val="ListParagraph"/>
        <w:ind w:left="460"/>
        <w:jc w:val="both"/>
        <w:rPr>
          <w:rFonts w:cs="Arial"/>
        </w:rPr>
      </w:pPr>
      <w:r w:rsidRPr="0086724B">
        <w:rPr>
          <w:rFonts w:cs="Arial"/>
          <w:b/>
          <w:bCs/>
        </w:rPr>
        <w:t>Technical Budgets</w:t>
      </w:r>
    </w:p>
    <w:p w14:paraId="2E69FB6C" w14:textId="77777777" w:rsidR="004558FE" w:rsidRPr="0086724B" w:rsidRDefault="004558FE" w:rsidP="004558FE">
      <w:pPr>
        <w:pStyle w:val="ListParagraph"/>
        <w:ind w:left="567"/>
        <w:jc w:val="both"/>
        <w:rPr>
          <w:rFonts w:cs="Arial"/>
        </w:rPr>
      </w:pPr>
    </w:p>
    <w:p w14:paraId="32DF3048" w14:textId="2B4174A9" w:rsidR="004558FE" w:rsidRPr="003A08EA" w:rsidRDefault="00E971A9" w:rsidP="00AF06B3">
      <w:pPr>
        <w:pStyle w:val="ListParagraph"/>
        <w:numPr>
          <w:ilvl w:val="0"/>
          <w:numId w:val="4"/>
        </w:numPr>
        <w:ind w:left="460" w:hanging="567"/>
        <w:jc w:val="both"/>
        <w:rPr>
          <w:rFonts w:cs="Arial"/>
        </w:rPr>
      </w:pPr>
      <w:r w:rsidRPr="003A08EA">
        <w:rPr>
          <w:rFonts w:cs="Arial"/>
        </w:rPr>
        <w:t>As at Q1 the forecast is a</w:t>
      </w:r>
      <w:r w:rsidR="0086724B" w:rsidRPr="003A08EA">
        <w:rPr>
          <w:rFonts w:cs="Arial"/>
        </w:rPr>
        <w:t>n underspend of £2.056m of which the majority relates to additional treasury management income and reduced interest charges.</w:t>
      </w:r>
    </w:p>
    <w:p w14:paraId="0DC65E82" w14:textId="0E24675D" w:rsidR="00E971A9" w:rsidRPr="003A08EA" w:rsidRDefault="00E971A9" w:rsidP="00E971A9">
      <w:pPr>
        <w:pStyle w:val="ListParagraph"/>
        <w:ind w:left="460"/>
        <w:jc w:val="both"/>
        <w:rPr>
          <w:rFonts w:cs="Arial"/>
        </w:rPr>
      </w:pPr>
    </w:p>
    <w:p w14:paraId="259E0EDD" w14:textId="1254959C" w:rsidR="00E971A9" w:rsidRPr="003A08EA" w:rsidRDefault="00E971A9" w:rsidP="00E971A9">
      <w:pPr>
        <w:pStyle w:val="ListParagraph"/>
        <w:ind w:left="460"/>
        <w:jc w:val="both"/>
        <w:rPr>
          <w:rFonts w:cs="Arial"/>
          <w:b/>
          <w:bCs/>
        </w:rPr>
      </w:pPr>
      <w:r w:rsidRPr="003A08EA">
        <w:rPr>
          <w:rFonts w:cs="Arial"/>
          <w:b/>
          <w:bCs/>
        </w:rPr>
        <w:t xml:space="preserve">Pay &amp; </w:t>
      </w:r>
      <w:r w:rsidR="00D46FF4" w:rsidRPr="003A08EA">
        <w:rPr>
          <w:rFonts w:cs="Arial"/>
          <w:b/>
          <w:bCs/>
        </w:rPr>
        <w:t>Non-Pay</w:t>
      </w:r>
      <w:r w:rsidRPr="003A08EA">
        <w:rPr>
          <w:rFonts w:cs="Arial"/>
          <w:b/>
          <w:bCs/>
        </w:rPr>
        <w:t xml:space="preserve"> Inflation Budgets</w:t>
      </w:r>
    </w:p>
    <w:p w14:paraId="74A5859A" w14:textId="77777777" w:rsidR="00E971A9" w:rsidRPr="003A08EA" w:rsidRDefault="00E971A9" w:rsidP="00E971A9">
      <w:pPr>
        <w:pStyle w:val="ListParagraph"/>
        <w:ind w:left="460"/>
        <w:jc w:val="both"/>
        <w:rPr>
          <w:rFonts w:cs="Arial"/>
        </w:rPr>
      </w:pPr>
    </w:p>
    <w:p w14:paraId="4BF9EE5F" w14:textId="2F02D0B6" w:rsidR="00EB52D3" w:rsidRPr="003A08EA" w:rsidRDefault="00E971A9" w:rsidP="00AF06B3">
      <w:pPr>
        <w:pStyle w:val="ListParagraph"/>
        <w:numPr>
          <w:ilvl w:val="0"/>
          <w:numId w:val="4"/>
        </w:numPr>
        <w:ind w:left="460" w:hanging="567"/>
        <w:jc w:val="both"/>
        <w:rPr>
          <w:rFonts w:cs="Arial"/>
        </w:rPr>
      </w:pPr>
      <w:r w:rsidRPr="003A08EA">
        <w:rPr>
          <w:rFonts w:cs="Arial"/>
        </w:rPr>
        <w:t xml:space="preserve">As at Q1 the pay and </w:t>
      </w:r>
      <w:r w:rsidR="00D46FF4" w:rsidRPr="003A08EA">
        <w:rPr>
          <w:rFonts w:cs="Arial"/>
        </w:rPr>
        <w:t>non-pay</w:t>
      </w:r>
      <w:r w:rsidRPr="003A08EA">
        <w:rPr>
          <w:rFonts w:cs="Arial"/>
        </w:rPr>
        <w:t xml:space="preserve"> inflation budgets are held corporately. There is a net underspend </w:t>
      </w:r>
      <w:r w:rsidR="00A66B79" w:rsidRPr="003A08EA">
        <w:rPr>
          <w:rFonts w:cs="Arial"/>
        </w:rPr>
        <w:t xml:space="preserve">on the </w:t>
      </w:r>
      <w:r w:rsidR="00D46FF4" w:rsidRPr="003A08EA">
        <w:rPr>
          <w:rFonts w:cs="Arial"/>
        </w:rPr>
        <w:t>non-pay</w:t>
      </w:r>
      <w:r w:rsidR="00A66B79" w:rsidRPr="003A08EA">
        <w:rPr>
          <w:rFonts w:cs="Arial"/>
        </w:rPr>
        <w:t xml:space="preserve"> inflation budget of £</w:t>
      </w:r>
      <w:r w:rsidR="0086724B" w:rsidRPr="003A08EA">
        <w:rPr>
          <w:rFonts w:cs="Arial"/>
        </w:rPr>
        <w:t>2.127</w:t>
      </w:r>
      <w:r w:rsidR="00A66B79" w:rsidRPr="003A08EA">
        <w:rPr>
          <w:rFonts w:cs="Arial"/>
        </w:rPr>
        <w:t xml:space="preserve">m </w:t>
      </w:r>
      <w:r w:rsidR="0086724B" w:rsidRPr="003A08EA">
        <w:rPr>
          <w:rFonts w:cs="Arial"/>
        </w:rPr>
        <w:t>as forecast energy prices are lower than originally anticipated</w:t>
      </w:r>
      <w:r w:rsidR="00A66B79" w:rsidRPr="003A08EA">
        <w:rPr>
          <w:rFonts w:cs="Arial"/>
        </w:rPr>
        <w:t xml:space="preserve">. </w:t>
      </w:r>
    </w:p>
    <w:p w14:paraId="336989D3" w14:textId="77777777" w:rsidR="00BA7B29" w:rsidRPr="003A08EA" w:rsidRDefault="00BA7B29" w:rsidP="00BA7B29">
      <w:pPr>
        <w:pStyle w:val="ListParagraph"/>
        <w:ind w:left="460"/>
        <w:jc w:val="both"/>
        <w:rPr>
          <w:rFonts w:cs="Arial"/>
          <w:highlight w:val="yellow"/>
        </w:rPr>
      </w:pPr>
    </w:p>
    <w:p w14:paraId="3524A63E" w14:textId="0DD04F9B" w:rsidR="00BA7B29" w:rsidRPr="003A08EA" w:rsidRDefault="00BA7B29" w:rsidP="00BA7B29">
      <w:pPr>
        <w:pStyle w:val="ListParagraph"/>
        <w:numPr>
          <w:ilvl w:val="0"/>
          <w:numId w:val="4"/>
        </w:numPr>
        <w:ind w:left="460" w:hanging="567"/>
        <w:jc w:val="both"/>
        <w:rPr>
          <w:rFonts w:cs="Arial"/>
        </w:rPr>
      </w:pPr>
      <w:r w:rsidRPr="003A08EA">
        <w:rPr>
          <w:rFonts w:cs="Arial"/>
        </w:rPr>
        <w:t>The pay inflation budget of £</w:t>
      </w:r>
      <w:r w:rsidR="0086724B" w:rsidRPr="003A08EA">
        <w:rPr>
          <w:rFonts w:cs="Arial"/>
        </w:rPr>
        <w:t>4</w:t>
      </w:r>
      <w:r w:rsidRPr="003A08EA">
        <w:rPr>
          <w:rFonts w:cs="Arial"/>
        </w:rPr>
        <w:t xml:space="preserve">m </w:t>
      </w:r>
      <w:r w:rsidR="00CB4289" w:rsidRPr="003A08EA">
        <w:rPr>
          <w:rFonts w:cs="Arial"/>
        </w:rPr>
        <w:t>was based on 4% pay award. However</w:t>
      </w:r>
      <w:r w:rsidR="00CC439E" w:rsidRPr="003A08EA">
        <w:rPr>
          <w:rFonts w:cs="Arial"/>
        </w:rPr>
        <w:t>,</w:t>
      </w:r>
      <w:r w:rsidR="00CB4289" w:rsidRPr="003A08EA">
        <w:rPr>
          <w:rFonts w:cs="Arial"/>
        </w:rPr>
        <w:t xml:space="preserve"> the cost of the pay </w:t>
      </w:r>
      <w:r w:rsidR="00830676" w:rsidRPr="003A08EA">
        <w:rPr>
          <w:rFonts w:cs="Arial"/>
        </w:rPr>
        <w:t>a</w:t>
      </w:r>
      <w:r w:rsidR="00CB4289" w:rsidRPr="003A08EA">
        <w:rPr>
          <w:rFonts w:cs="Arial"/>
        </w:rPr>
        <w:t>ward in 2022-23 was £6.928m</w:t>
      </w:r>
      <w:r w:rsidR="00CC439E" w:rsidRPr="003A08EA">
        <w:rPr>
          <w:rFonts w:cs="Arial"/>
        </w:rPr>
        <w:t xml:space="preserve"> </w:t>
      </w:r>
      <w:r w:rsidR="00830676" w:rsidRPr="003A08EA">
        <w:rPr>
          <w:rFonts w:cs="Arial"/>
        </w:rPr>
        <w:t>but the pay award for 2023</w:t>
      </w:r>
      <w:r w:rsidR="003A08EA" w:rsidRPr="003A08EA">
        <w:rPr>
          <w:rFonts w:cs="Arial"/>
        </w:rPr>
        <w:t>-</w:t>
      </w:r>
      <w:r w:rsidR="00830676" w:rsidRPr="003A08EA">
        <w:rPr>
          <w:rFonts w:cs="Arial"/>
        </w:rPr>
        <w:t xml:space="preserve">24 is likely to be higher than the 2022-23 award.  </w:t>
      </w:r>
      <w:r w:rsidR="00CC439E" w:rsidRPr="003A08EA">
        <w:rPr>
          <w:rFonts w:cs="Arial"/>
        </w:rPr>
        <w:t>There is a further one-off budget of £1.4m which is being held to fund any increases above £6.928m.</w:t>
      </w:r>
    </w:p>
    <w:p w14:paraId="374C1006" w14:textId="77777777" w:rsidR="004558FE" w:rsidRPr="003A08EA" w:rsidRDefault="004558FE" w:rsidP="004558FE">
      <w:pPr>
        <w:pStyle w:val="ListParagraph"/>
        <w:ind w:left="709"/>
        <w:jc w:val="both"/>
        <w:rPr>
          <w:rFonts w:cs="Arial"/>
        </w:rPr>
      </w:pPr>
    </w:p>
    <w:p w14:paraId="6FA4343F" w14:textId="519B9403" w:rsidR="00B37833" w:rsidRPr="003A08EA" w:rsidRDefault="00B37833" w:rsidP="00B37833">
      <w:pPr>
        <w:pStyle w:val="ListParagraph"/>
        <w:ind w:left="460"/>
        <w:jc w:val="both"/>
        <w:rPr>
          <w:rFonts w:cs="Arial"/>
          <w:b/>
          <w:bCs/>
        </w:rPr>
      </w:pPr>
      <w:r w:rsidRPr="003A08EA">
        <w:rPr>
          <w:rFonts w:cs="Arial"/>
          <w:b/>
          <w:bCs/>
        </w:rPr>
        <w:t>Investment Properties</w:t>
      </w:r>
    </w:p>
    <w:p w14:paraId="09754655" w14:textId="77777777" w:rsidR="00B37833" w:rsidRPr="003A08EA" w:rsidRDefault="00B37833" w:rsidP="00B37833">
      <w:pPr>
        <w:pStyle w:val="ListParagraph"/>
        <w:ind w:left="567"/>
        <w:jc w:val="both"/>
        <w:rPr>
          <w:rFonts w:cs="Arial"/>
          <w:bCs/>
          <w:szCs w:val="24"/>
        </w:rPr>
      </w:pPr>
    </w:p>
    <w:p w14:paraId="08C45958" w14:textId="64333933" w:rsidR="00B37833" w:rsidRPr="003A08EA" w:rsidRDefault="00A36B2C" w:rsidP="00830676">
      <w:pPr>
        <w:pStyle w:val="ListParagraph"/>
        <w:ind w:left="460"/>
        <w:jc w:val="both"/>
        <w:rPr>
          <w:rFonts w:cs="Arial"/>
          <w:b/>
          <w:bCs/>
        </w:rPr>
      </w:pPr>
      <w:r w:rsidRPr="003A08EA">
        <w:rPr>
          <w:rFonts w:cs="Arial"/>
        </w:rPr>
        <w:t xml:space="preserve">As at Q1 the forecast </w:t>
      </w:r>
      <w:r w:rsidR="00B37833" w:rsidRPr="003A08EA">
        <w:rPr>
          <w:rFonts w:cs="Arial"/>
        </w:rPr>
        <w:t xml:space="preserve">for investment properties is a </w:t>
      </w:r>
      <w:r w:rsidR="00830676" w:rsidRPr="003A08EA">
        <w:rPr>
          <w:rFonts w:cs="Arial"/>
        </w:rPr>
        <w:t xml:space="preserve">balanced position. This is after allowing for a drawdown of </w:t>
      </w:r>
      <w:r w:rsidR="00B37833" w:rsidRPr="003A08EA">
        <w:rPr>
          <w:rFonts w:cs="Arial"/>
        </w:rPr>
        <w:t>£</w:t>
      </w:r>
      <w:r w:rsidRPr="003A08EA">
        <w:rPr>
          <w:rFonts w:cs="Arial"/>
        </w:rPr>
        <w:t>80</w:t>
      </w:r>
      <w:r w:rsidR="00B37833" w:rsidRPr="003A08EA">
        <w:rPr>
          <w:rFonts w:cs="Arial"/>
        </w:rPr>
        <w:t>k</w:t>
      </w:r>
      <w:r w:rsidR="00830676" w:rsidRPr="003A08EA">
        <w:rPr>
          <w:rFonts w:cs="Arial"/>
        </w:rPr>
        <w:t xml:space="preserve"> from the Investment Properties Reserve to fund a loss in rental income as a result of vacant space.</w:t>
      </w:r>
      <w:r w:rsidR="00B37833" w:rsidRPr="003A08EA">
        <w:rPr>
          <w:rFonts w:cs="Arial"/>
        </w:rPr>
        <w:t xml:space="preserve"> </w:t>
      </w:r>
    </w:p>
    <w:p w14:paraId="2FCD832B" w14:textId="77777777" w:rsidR="0086724B" w:rsidRPr="003A08EA" w:rsidRDefault="0086724B" w:rsidP="003E498C">
      <w:pPr>
        <w:jc w:val="both"/>
        <w:rPr>
          <w:rFonts w:cs="Arial"/>
          <w:b/>
          <w:szCs w:val="24"/>
        </w:rPr>
      </w:pPr>
    </w:p>
    <w:p w14:paraId="4A675C4B" w14:textId="77777777" w:rsidR="0086724B" w:rsidRPr="003A08EA" w:rsidRDefault="0086724B" w:rsidP="003E498C">
      <w:pPr>
        <w:jc w:val="both"/>
        <w:rPr>
          <w:rFonts w:cs="Arial"/>
          <w:b/>
          <w:szCs w:val="24"/>
        </w:rPr>
      </w:pPr>
    </w:p>
    <w:p w14:paraId="6475F2DA" w14:textId="77777777" w:rsidR="0086724B" w:rsidRPr="003A08EA" w:rsidRDefault="0086724B" w:rsidP="003E498C">
      <w:pPr>
        <w:jc w:val="both"/>
        <w:rPr>
          <w:rFonts w:cs="Arial"/>
          <w:b/>
          <w:szCs w:val="24"/>
        </w:rPr>
      </w:pPr>
    </w:p>
    <w:p w14:paraId="41635DDE" w14:textId="77777777" w:rsidR="0086724B" w:rsidRPr="003A08EA" w:rsidRDefault="0086724B" w:rsidP="003E498C">
      <w:pPr>
        <w:jc w:val="both"/>
        <w:rPr>
          <w:rFonts w:cs="Arial"/>
          <w:b/>
          <w:szCs w:val="24"/>
        </w:rPr>
      </w:pPr>
    </w:p>
    <w:p w14:paraId="6B01210F" w14:textId="77777777" w:rsidR="0086724B" w:rsidRDefault="0086724B" w:rsidP="003E498C">
      <w:pPr>
        <w:jc w:val="both"/>
        <w:rPr>
          <w:rFonts w:cs="Arial"/>
          <w:b/>
          <w:color w:val="FF0000"/>
          <w:szCs w:val="24"/>
        </w:rPr>
      </w:pPr>
    </w:p>
    <w:p w14:paraId="2A862D36" w14:textId="77777777" w:rsidR="0086724B" w:rsidRDefault="0086724B" w:rsidP="003E498C">
      <w:pPr>
        <w:jc w:val="both"/>
        <w:rPr>
          <w:rFonts w:cs="Arial"/>
          <w:b/>
          <w:color w:val="FF0000"/>
          <w:szCs w:val="24"/>
        </w:rPr>
      </w:pPr>
    </w:p>
    <w:p w14:paraId="100CFEF8" w14:textId="77777777" w:rsidR="0086724B" w:rsidRDefault="0086724B" w:rsidP="003E498C">
      <w:pPr>
        <w:jc w:val="both"/>
        <w:rPr>
          <w:rFonts w:cs="Arial"/>
          <w:b/>
          <w:color w:val="FF0000"/>
          <w:szCs w:val="24"/>
        </w:rPr>
      </w:pPr>
    </w:p>
    <w:p w14:paraId="1620B137" w14:textId="77777777" w:rsidR="0086724B" w:rsidRDefault="0086724B" w:rsidP="003E498C">
      <w:pPr>
        <w:jc w:val="both"/>
        <w:rPr>
          <w:rFonts w:cs="Arial"/>
          <w:b/>
          <w:color w:val="FF0000"/>
          <w:szCs w:val="24"/>
        </w:rPr>
      </w:pPr>
    </w:p>
    <w:p w14:paraId="2019D1B2" w14:textId="77777777" w:rsidR="0086724B" w:rsidRDefault="0086724B" w:rsidP="003E498C">
      <w:pPr>
        <w:jc w:val="both"/>
        <w:rPr>
          <w:rFonts w:cs="Arial"/>
          <w:b/>
          <w:color w:val="FF0000"/>
          <w:szCs w:val="24"/>
        </w:rPr>
      </w:pPr>
    </w:p>
    <w:p w14:paraId="02F8B257" w14:textId="77777777" w:rsidR="0086724B" w:rsidRDefault="0086724B" w:rsidP="003E498C">
      <w:pPr>
        <w:jc w:val="both"/>
        <w:rPr>
          <w:rFonts w:cs="Arial"/>
          <w:b/>
          <w:color w:val="FF0000"/>
          <w:szCs w:val="24"/>
        </w:rPr>
      </w:pPr>
    </w:p>
    <w:p w14:paraId="04EE9941" w14:textId="77777777" w:rsidR="0086724B" w:rsidRDefault="0086724B" w:rsidP="003E498C">
      <w:pPr>
        <w:jc w:val="both"/>
        <w:rPr>
          <w:rFonts w:cs="Arial"/>
          <w:b/>
          <w:color w:val="FF0000"/>
          <w:szCs w:val="24"/>
        </w:rPr>
      </w:pPr>
    </w:p>
    <w:p w14:paraId="74AD0D7F" w14:textId="77777777" w:rsidR="0086724B" w:rsidRDefault="0086724B" w:rsidP="003E498C">
      <w:pPr>
        <w:jc w:val="both"/>
        <w:rPr>
          <w:rFonts w:cs="Arial"/>
          <w:b/>
          <w:color w:val="FF0000"/>
          <w:szCs w:val="24"/>
        </w:rPr>
      </w:pPr>
    </w:p>
    <w:p w14:paraId="49B54925" w14:textId="288E819A" w:rsidR="0086724B" w:rsidRDefault="0086724B" w:rsidP="003E498C">
      <w:pPr>
        <w:jc w:val="both"/>
        <w:rPr>
          <w:rFonts w:cs="Arial"/>
          <w:b/>
          <w:color w:val="FF0000"/>
          <w:szCs w:val="24"/>
        </w:rPr>
      </w:pPr>
    </w:p>
    <w:p w14:paraId="7E0EBCFE" w14:textId="16756A7D" w:rsidR="00CB24A9" w:rsidRDefault="00CB24A9" w:rsidP="003E498C">
      <w:pPr>
        <w:jc w:val="both"/>
        <w:rPr>
          <w:rFonts w:cs="Arial"/>
          <w:b/>
          <w:color w:val="FF0000"/>
          <w:szCs w:val="24"/>
        </w:rPr>
      </w:pPr>
    </w:p>
    <w:p w14:paraId="31830DF6" w14:textId="0BBB53F6" w:rsidR="00CB24A9" w:rsidRDefault="00CB24A9" w:rsidP="003E498C">
      <w:pPr>
        <w:jc w:val="both"/>
        <w:rPr>
          <w:rFonts w:cs="Arial"/>
          <w:b/>
          <w:color w:val="FF0000"/>
          <w:szCs w:val="24"/>
        </w:rPr>
      </w:pPr>
    </w:p>
    <w:p w14:paraId="2C90C3AF" w14:textId="48AFD6B5" w:rsidR="00CB24A9" w:rsidRDefault="00CB24A9" w:rsidP="003E498C">
      <w:pPr>
        <w:jc w:val="both"/>
        <w:rPr>
          <w:rFonts w:cs="Arial"/>
          <w:b/>
          <w:color w:val="FF0000"/>
          <w:szCs w:val="24"/>
        </w:rPr>
      </w:pPr>
    </w:p>
    <w:p w14:paraId="1CCCB832" w14:textId="74C312DA" w:rsidR="00CB24A9" w:rsidRDefault="00CB24A9" w:rsidP="003E498C">
      <w:pPr>
        <w:jc w:val="both"/>
        <w:rPr>
          <w:rFonts w:cs="Arial"/>
          <w:b/>
          <w:color w:val="FF0000"/>
          <w:szCs w:val="24"/>
        </w:rPr>
      </w:pPr>
    </w:p>
    <w:p w14:paraId="7AB73A57" w14:textId="7E91A9D0" w:rsidR="00CB24A9" w:rsidRDefault="00CB24A9" w:rsidP="003E498C">
      <w:pPr>
        <w:jc w:val="both"/>
        <w:rPr>
          <w:rFonts w:cs="Arial"/>
          <w:b/>
          <w:color w:val="FF0000"/>
          <w:szCs w:val="24"/>
        </w:rPr>
      </w:pPr>
    </w:p>
    <w:p w14:paraId="352C7F88" w14:textId="07255EB3" w:rsidR="00BF4154" w:rsidRDefault="00BF4154" w:rsidP="003E498C">
      <w:pPr>
        <w:jc w:val="both"/>
        <w:rPr>
          <w:rFonts w:cs="Arial"/>
          <w:b/>
          <w:color w:val="FF0000"/>
          <w:szCs w:val="24"/>
        </w:rPr>
      </w:pPr>
    </w:p>
    <w:p w14:paraId="3FAEA7C8" w14:textId="2A678AAF" w:rsidR="00BF4154" w:rsidRDefault="00BF4154" w:rsidP="003E498C">
      <w:pPr>
        <w:jc w:val="both"/>
        <w:rPr>
          <w:rFonts w:cs="Arial"/>
          <w:b/>
          <w:color w:val="FF0000"/>
          <w:szCs w:val="24"/>
        </w:rPr>
      </w:pPr>
    </w:p>
    <w:p w14:paraId="61402C0C" w14:textId="77777777" w:rsidR="00BF4154" w:rsidRDefault="00BF4154" w:rsidP="003E498C">
      <w:pPr>
        <w:jc w:val="both"/>
        <w:rPr>
          <w:rFonts w:cs="Arial"/>
          <w:b/>
          <w:color w:val="FF0000"/>
          <w:szCs w:val="24"/>
        </w:rPr>
      </w:pPr>
    </w:p>
    <w:p w14:paraId="355DF4B1" w14:textId="7080EDBC" w:rsidR="00CB24A9" w:rsidRDefault="00CB24A9" w:rsidP="003E498C">
      <w:pPr>
        <w:jc w:val="both"/>
        <w:rPr>
          <w:rFonts w:cs="Arial"/>
          <w:b/>
          <w:color w:val="FF0000"/>
          <w:szCs w:val="24"/>
        </w:rPr>
      </w:pPr>
    </w:p>
    <w:p w14:paraId="3E2596BB" w14:textId="77C55484" w:rsidR="003E498C" w:rsidRPr="0086724B" w:rsidRDefault="00870761" w:rsidP="003E498C">
      <w:pPr>
        <w:jc w:val="both"/>
        <w:rPr>
          <w:rFonts w:cs="Arial"/>
          <w:b/>
          <w:szCs w:val="24"/>
        </w:rPr>
      </w:pPr>
      <w:r>
        <w:rPr>
          <w:rFonts w:cs="Arial"/>
          <w:b/>
          <w:szCs w:val="24"/>
        </w:rPr>
        <w:lastRenderedPageBreak/>
        <w:t>R</w:t>
      </w:r>
      <w:r w:rsidR="003E498C" w:rsidRPr="0086724B">
        <w:rPr>
          <w:rFonts w:cs="Arial"/>
          <w:b/>
          <w:szCs w:val="24"/>
        </w:rPr>
        <w:t>ESERVES</w:t>
      </w:r>
    </w:p>
    <w:p w14:paraId="56386321" w14:textId="77777777" w:rsidR="003E498C" w:rsidRPr="0086724B" w:rsidRDefault="003E498C" w:rsidP="003E498C">
      <w:pPr>
        <w:jc w:val="both"/>
        <w:rPr>
          <w:rFonts w:cs="Arial"/>
          <w:bCs/>
          <w:szCs w:val="24"/>
        </w:rPr>
      </w:pPr>
    </w:p>
    <w:p w14:paraId="46A54DED" w14:textId="6FDB3014" w:rsidR="00253051" w:rsidRPr="0086724B" w:rsidRDefault="00253051" w:rsidP="00DD6F38">
      <w:pPr>
        <w:rPr>
          <w:rFonts w:cs="Arial"/>
          <w:b/>
          <w:bCs/>
          <w:u w:val="single"/>
          <w:lang w:val="en-US"/>
        </w:rPr>
      </w:pPr>
      <w:r w:rsidRPr="0086724B">
        <w:rPr>
          <w:rFonts w:cs="Arial"/>
          <w:b/>
          <w:bCs/>
          <w:u w:val="single"/>
          <w:lang w:val="en-US"/>
        </w:rPr>
        <w:t xml:space="preserve">Table </w:t>
      </w:r>
      <w:r w:rsidR="009A55D3" w:rsidRPr="0086724B">
        <w:rPr>
          <w:rFonts w:cs="Arial"/>
          <w:b/>
          <w:bCs/>
          <w:u w:val="single"/>
          <w:lang w:val="en-US"/>
        </w:rPr>
        <w:t>10</w:t>
      </w:r>
      <w:r w:rsidR="00C920C9" w:rsidRPr="0086724B">
        <w:rPr>
          <w:rFonts w:cs="Arial"/>
          <w:b/>
          <w:bCs/>
          <w:u w:val="single"/>
          <w:lang w:val="en-US"/>
        </w:rPr>
        <w:t xml:space="preserve">: </w:t>
      </w:r>
      <w:r w:rsidRPr="0086724B">
        <w:rPr>
          <w:rFonts w:cs="Arial"/>
          <w:b/>
          <w:bCs/>
          <w:u w:val="single"/>
          <w:lang w:val="en-US"/>
        </w:rPr>
        <w:t xml:space="preserve">Summary of Reserves </w:t>
      </w:r>
      <w:r w:rsidR="00542808" w:rsidRPr="0086724B">
        <w:rPr>
          <w:rFonts w:cs="Arial"/>
          <w:b/>
          <w:bCs/>
          <w:u w:val="single"/>
          <w:lang w:val="en-US"/>
        </w:rPr>
        <w:t>20</w:t>
      </w:r>
      <w:r w:rsidR="0086724B" w:rsidRPr="0086724B">
        <w:rPr>
          <w:rFonts w:cs="Arial"/>
          <w:b/>
          <w:bCs/>
          <w:u w:val="single"/>
          <w:lang w:val="en-US"/>
        </w:rPr>
        <w:t>23-24</w:t>
      </w:r>
    </w:p>
    <w:p w14:paraId="0C112F9E" w14:textId="3B05F597" w:rsidR="00C742E3" w:rsidRPr="0086724B" w:rsidRDefault="00C742E3" w:rsidP="00C742E3">
      <w:pPr>
        <w:pStyle w:val="ListParagraph"/>
        <w:ind w:left="567"/>
        <w:jc w:val="both"/>
        <w:rPr>
          <w:rFonts w:cs="Arial"/>
          <w:lang w:val="en-US"/>
        </w:rPr>
      </w:pPr>
    </w:p>
    <w:p w14:paraId="6EAB7F70" w14:textId="6D22C833" w:rsidR="00DD6F38" w:rsidRPr="00541017" w:rsidRDefault="00DD6F38" w:rsidP="00F805C8">
      <w:pPr>
        <w:pStyle w:val="ListParagraph"/>
        <w:ind w:left="-567"/>
        <w:jc w:val="both"/>
        <w:rPr>
          <w:rFonts w:cs="Arial"/>
          <w:color w:val="FF0000"/>
          <w:lang w:val="en-US"/>
        </w:rPr>
      </w:pPr>
    </w:p>
    <w:p w14:paraId="2259C42B" w14:textId="44F71DE5" w:rsidR="00DD6F38" w:rsidRPr="00523618" w:rsidRDefault="0086724B" w:rsidP="0086724B">
      <w:pPr>
        <w:pStyle w:val="ListParagraph"/>
        <w:ind w:left="-709"/>
        <w:jc w:val="both"/>
        <w:rPr>
          <w:rFonts w:cs="Arial"/>
          <w:lang w:val="en-US"/>
        </w:rPr>
      </w:pPr>
      <w:r w:rsidRPr="0086724B">
        <w:rPr>
          <w:noProof/>
        </w:rPr>
        <w:drawing>
          <wp:inline distT="0" distB="0" distL="0" distR="0" wp14:anchorId="2D0F48A9" wp14:editId="56828E2C">
            <wp:extent cx="6824251" cy="5803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5742" cy="5813673"/>
                    </a:xfrm>
                    <a:prstGeom prst="rect">
                      <a:avLst/>
                    </a:prstGeom>
                    <a:noFill/>
                    <a:ln>
                      <a:noFill/>
                    </a:ln>
                  </pic:spPr>
                </pic:pic>
              </a:graphicData>
            </a:graphic>
          </wp:inline>
        </w:drawing>
      </w:r>
    </w:p>
    <w:p w14:paraId="3624D7C8" w14:textId="77777777" w:rsidR="00870761" w:rsidRDefault="00870761" w:rsidP="00870761">
      <w:pPr>
        <w:pStyle w:val="ListParagraph"/>
        <w:ind w:left="460"/>
        <w:jc w:val="both"/>
        <w:rPr>
          <w:rFonts w:cs="Arial"/>
          <w:b/>
          <w:bCs/>
        </w:rPr>
      </w:pPr>
    </w:p>
    <w:p w14:paraId="23EBC1DA" w14:textId="77777777" w:rsidR="00F90145" w:rsidRPr="001B7300" w:rsidRDefault="00F90145" w:rsidP="00F90145">
      <w:pPr>
        <w:pStyle w:val="ListParagraph"/>
        <w:ind w:left="460"/>
        <w:jc w:val="both"/>
        <w:rPr>
          <w:rFonts w:cs="Arial"/>
          <w:b/>
          <w:bCs/>
        </w:rPr>
      </w:pPr>
    </w:p>
    <w:p w14:paraId="405803B3" w14:textId="2E91DBB1" w:rsidR="00870761" w:rsidRPr="004A03B6" w:rsidRDefault="00870761" w:rsidP="004A03B6">
      <w:pPr>
        <w:pStyle w:val="ListParagraph"/>
        <w:ind w:left="460"/>
        <w:jc w:val="both"/>
        <w:rPr>
          <w:rFonts w:cs="Arial"/>
          <w:b/>
          <w:bCs/>
          <w:highlight w:val="yellow"/>
        </w:rPr>
      </w:pPr>
      <w:r w:rsidRPr="004A03B6">
        <w:rPr>
          <w:rFonts w:cs="Arial"/>
        </w:rPr>
        <w:t xml:space="preserve">Table 10 shows the </w:t>
      </w:r>
      <w:r w:rsidR="00F01B6B" w:rsidRPr="004A03B6">
        <w:rPr>
          <w:rFonts w:cs="Arial"/>
        </w:rPr>
        <w:t xml:space="preserve">balance brought forward on the Council reserves and the projected </w:t>
      </w:r>
      <w:r w:rsidRPr="004A03B6">
        <w:rPr>
          <w:rFonts w:cs="Arial"/>
        </w:rPr>
        <w:t xml:space="preserve">reserve balances </w:t>
      </w:r>
      <w:r w:rsidR="00F01B6B" w:rsidRPr="004A03B6">
        <w:rPr>
          <w:rFonts w:cs="Arial"/>
        </w:rPr>
        <w:t xml:space="preserve">at the end of the financial year. The </w:t>
      </w:r>
      <w:r w:rsidR="0023756D" w:rsidRPr="004A03B6">
        <w:rPr>
          <w:rFonts w:cs="Arial"/>
        </w:rPr>
        <w:t xml:space="preserve">drawdowns from reserves of £8.230m and £3.074m in table 10 are already incorporated in the overall forecast for 2023-24 as reflected in Table 1 </w:t>
      </w:r>
      <w:r w:rsidR="003F2EC4" w:rsidRPr="004A03B6">
        <w:rPr>
          <w:rFonts w:cs="Arial"/>
        </w:rPr>
        <w:t>(</w:t>
      </w:r>
      <w:r w:rsidR="0023756D" w:rsidRPr="004A03B6">
        <w:rPr>
          <w:rFonts w:cs="Arial"/>
        </w:rPr>
        <w:t>which shows the total use of reserves of £11.306m</w:t>
      </w:r>
      <w:r w:rsidR="003F2EC4" w:rsidRPr="004A03B6">
        <w:rPr>
          <w:rFonts w:cs="Arial"/>
        </w:rPr>
        <w:t>)</w:t>
      </w:r>
      <w:r w:rsidR="0023756D" w:rsidRPr="004A03B6">
        <w:rPr>
          <w:rFonts w:cs="Arial"/>
        </w:rPr>
        <w:t>.  The “other reserves movement” in Table 10, are further use or reserves not reflected in the current revenue forecast.  For e</w:t>
      </w:r>
      <w:r w:rsidR="003F2EC4" w:rsidRPr="004A03B6">
        <w:rPr>
          <w:rFonts w:cs="Arial"/>
        </w:rPr>
        <w:t xml:space="preserve">xample, </w:t>
      </w:r>
      <w:r w:rsidR="0023756D" w:rsidRPr="004A03B6">
        <w:rPr>
          <w:rFonts w:cs="Arial"/>
        </w:rPr>
        <w:t xml:space="preserve"> £1m planned use of BCIL will support the Capital programme.  </w:t>
      </w:r>
      <w:r w:rsidR="00C4123E" w:rsidRPr="004A03B6">
        <w:rPr>
          <w:rFonts w:cs="Arial"/>
        </w:rPr>
        <w:t xml:space="preserve">The forecast </w:t>
      </w:r>
      <w:proofErr w:type="spellStart"/>
      <w:r w:rsidR="00C4123E" w:rsidRPr="004A03B6">
        <w:rPr>
          <w:rFonts w:cs="Arial"/>
        </w:rPr>
        <w:t>year end</w:t>
      </w:r>
      <w:proofErr w:type="spellEnd"/>
      <w:r w:rsidR="00C4123E" w:rsidRPr="004A03B6">
        <w:rPr>
          <w:rFonts w:cs="Arial"/>
        </w:rPr>
        <w:t xml:space="preserve"> balance on </w:t>
      </w:r>
      <w:r w:rsidR="004E5BFB" w:rsidRPr="004A03B6">
        <w:rPr>
          <w:rFonts w:cs="Arial"/>
        </w:rPr>
        <w:t xml:space="preserve">the budget planning reserve is </w:t>
      </w:r>
      <w:r w:rsidR="002C06BE" w:rsidRPr="004A03B6">
        <w:rPr>
          <w:rFonts w:cs="Arial"/>
        </w:rPr>
        <w:t>£16.162</w:t>
      </w:r>
      <w:r w:rsidR="00BF4154" w:rsidRPr="004A03B6">
        <w:rPr>
          <w:rFonts w:cs="Arial"/>
        </w:rPr>
        <w:t>m</w:t>
      </w:r>
      <w:r w:rsidR="002C06BE" w:rsidRPr="004A03B6">
        <w:rPr>
          <w:rFonts w:cs="Arial"/>
        </w:rPr>
        <w:t xml:space="preserve"> after </w:t>
      </w:r>
      <w:r w:rsidR="00BF4154" w:rsidRPr="004A03B6">
        <w:rPr>
          <w:rFonts w:cs="Arial"/>
        </w:rPr>
        <w:t>allowing for a</w:t>
      </w:r>
      <w:r w:rsidR="002C06BE" w:rsidRPr="004A03B6">
        <w:rPr>
          <w:rFonts w:cs="Arial"/>
        </w:rPr>
        <w:t xml:space="preserve"> £2.18</w:t>
      </w:r>
      <w:r w:rsidR="0009656D" w:rsidRPr="004A03B6">
        <w:rPr>
          <w:rFonts w:cs="Arial"/>
        </w:rPr>
        <w:t>0</w:t>
      </w:r>
      <w:r w:rsidR="002C06BE" w:rsidRPr="004A03B6">
        <w:rPr>
          <w:rFonts w:cs="Arial"/>
        </w:rPr>
        <w:t>m draw down</w:t>
      </w:r>
      <w:r w:rsidR="00BF4154" w:rsidRPr="004A03B6">
        <w:rPr>
          <w:rFonts w:cs="Arial"/>
        </w:rPr>
        <w:t xml:space="preserve"> already included in the forecast.  If the Q1 forecast overspend is not </w:t>
      </w:r>
      <w:r w:rsidR="00BF4154" w:rsidRPr="004A03B6">
        <w:rPr>
          <w:rFonts w:cs="Arial"/>
        </w:rPr>
        <w:lastRenderedPageBreak/>
        <w:t xml:space="preserve">mitigated by the end of the year, then the budget planning reserve would be reduced by a further £2.35m.  </w:t>
      </w:r>
      <w:r w:rsidR="002C06BE" w:rsidRPr="004A03B6">
        <w:rPr>
          <w:rFonts w:cs="Arial"/>
        </w:rPr>
        <w:t xml:space="preserve"> </w:t>
      </w:r>
    </w:p>
    <w:p w14:paraId="3EE4C0B4" w14:textId="17E218F3" w:rsidR="00CB24A9" w:rsidRPr="00FA166E" w:rsidRDefault="00CB24A9" w:rsidP="00FA166E">
      <w:pPr>
        <w:jc w:val="both"/>
        <w:rPr>
          <w:rFonts w:cs="Arial"/>
          <w:b/>
          <w:bCs/>
        </w:rPr>
      </w:pPr>
    </w:p>
    <w:p w14:paraId="57E3EB42" w14:textId="5DC519AB" w:rsidR="00CB24A9" w:rsidRDefault="00CB24A9" w:rsidP="00870761">
      <w:pPr>
        <w:pStyle w:val="ListParagraph"/>
        <w:ind w:left="460"/>
        <w:jc w:val="both"/>
        <w:rPr>
          <w:rFonts w:cs="Arial"/>
          <w:b/>
          <w:bCs/>
        </w:rPr>
      </w:pPr>
    </w:p>
    <w:p w14:paraId="5019B70E" w14:textId="274C8DB3" w:rsidR="00870761" w:rsidRPr="00523618" w:rsidRDefault="00870761" w:rsidP="00870761">
      <w:pPr>
        <w:pStyle w:val="ListParagraph"/>
        <w:ind w:left="460"/>
        <w:jc w:val="both"/>
        <w:rPr>
          <w:rFonts w:cs="Arial"/>
          <w:b/>
          <w:bCs/>
        </w:rPr>
      </w:pPr>
      <w:r w:rsidRPr="00523618">
        <w:rPr>
          <w:rFonts w:cs="Arial"/>
          <w:b/>
          <w:bCs/>
        </w:rPr>
        <w:t>GRANTS</w:t>
      </w:r>
    </w:p>
    <w:p w14:paraId="4F5D79E2" w14:textId="77777777" w:rsidR="00870761" w:rsidRPr="00870761" w:rsidRDefault="00870761" w:rsidP="00870761">
      <w:pPr>
        <w:pStyle w:val="ListParagraph"/>
        <w:ind w:left="460"/>
        <w:jc w:val="both"/>
        <w:rPr>
          <w:rFonts w:cs="Arial"/>
          <w:b/>
          <w:bCs/>
        </w:rPr>
      </w:pPr>
    </w:p>
    <w:p w14:paraId="6CF2C181" w14:textId="0983EF43" w:rsidR="003C7F2F" w:rsidRPr="001B7300" w:rsidRDefault="00F90145" w:rsidP="008F0A24">
      <w:pPr>
        <w:pStyle w:val="ListParagraph"/>
        <w:numPr>
          <w:ilvl w:val="0"/>
          <w:numId w:val="4"/>
        </w:numPr>
        <w:ind w:left="460" w:hanging="567"/>
        <w:jc w:val="both"/>
        <w:rPr>
          <w:rFonts w:cs="Arial"/>
          <w:b/>
          <w:bCs/>
        </w:rPr>
      </w:pPr>
      <w:r w:rsidRPr="001B7300">
        <w:rPr>
          <w:rFonts w:cs="Arial"/>
        </w:rPr>
        <w:t xml:space="preserve">Attached at Appendix </w:t>
      </w:r>
      <w:r w:rsidR="00B5452E" w:rsidRPr="001B7300">
        <w:rPr>
          <w:rFonts w:cs="Arial"/>
        </w:rPr>
        <w:t>1</w:t>
      </w:r>
      <w:r w:rsidRPr="001B7300">
        <w:rPr>
          <w:rFonts w:cs="Arial"/>
        </w:rPr>
        <w:t xml:space="preserve"> is a schedule of all the </w:t>
      </w:r>
      <w:r w:rsidR="00076BFB" w:rsidRPr="001B7300">
        <w:rPr>
          <w:rFonts w:cs="Arial"/>
        </w:rPr>
        <w:t xml:space="preserve">revenue grants </w:t>
      </w:r>
      <w:r w:rsidRPr="001B7300">
        <w:rPr>
          <w:rFonts w:cs="Arial"/>
        </w:rPr>
        <w:t xml:space="preserve">the Council </w:t>
      </w:r>
      <w:r w:rsidR="00EE2675" w:rsidRPr="001B7300">
        <w:rPr>
          <w:rFonts w:cs="Arial"/>
        </w:rPr>
        <w:t>expects to receive</w:t>
      </w:r>
      <w:r w:rsidRPr="001B7300">
        <w:rPr>
          <w:rFonts w:cs="Arial"/>
        </w:rPr>
        <w:t xml:space="preserve"> in </w:t>
      </w:r>
      <w:r w:rsidR="00E25389" w:rsidRPr="001B7300">
        <w:rPr>
          <w:rFonts w:cs="Arial"/>
        </w:rPr>
        <w:t>2023-24</w:t>
      </w:r>
      <w:r w:rsidRPr="001B7300">
        <w:rPr>
          <w:rFonts w:cs="Arial"/>
        </w:rPr>
        <w:t xml:space="preserve">. </w:t>
      </w:r>
      <w:r w:rsidR="00076BFB" w:rsidRPr="001B7300">
        <w:rPr>
          <w:rFonts w:cs="Arial"/>
        </w:rPr>
        <w:t>The majority of these grants are received and paid out and don’t impact on the bottom line</w:t>
      </w:r>
      <w:r w:rsidR="003A08EA">
        <w:rPr>
          <w:rFonts w:cs="Arial"/>
        </w:rPr>
        <w:t>. F</w:t>
      </w:r>
      <w:r w:rsidR="00076BFB" w:rsidRPr="001B7300">
        <w:rPr>
          <w:rFonts w:cs="Arial"/>
        </w:rPr>
        <w:t>or example</w:t>
      </w:r>
      <w:r w:rsidR="000B64C2">
        <w:rPr>
          <w:rFonts w:cs="Arial"/>
        </w:rPr>
        <w:t xml:space="preserve">, the </w:t>
      </w:r>
      <w:r w:rsidR="00076BFB" w:rsidRPr="001B7300">
        <w:rPr>
          <w:rFonts w:cs="Arial"/>
        </w:rPr>
        <w:t xml:space="preserve">Dedicated </w:t>
      </w:r>
      <w:r w:rsidR="00076BFB" w:rsidRPr="00523618">
        <w:rPr>
          <w:rFonts w:cs="Arial"/>
        </w:rPr>
        <w:t xml:space="preserve">Schools Grant </w:t>
      </w:r>
      <w:r w:rsidR="000B64C2">
        <w:rPr>
          <w:rFonts w:cs="Arial"/>
        </w:rPr>
        <w:t xml:space="preserve">is </w:t>
      </w:r>
      <w:r w:rsidR="00076BFB" w:rsidRPr="00523618">
        <w:rPr>
          <w:rFonts w:cs="Arial"/>
        </w:rPr>
        <w:t>£1</w:t>
      </w:r>
      <w:r w:rsidR="00523618" w:rsidRPr="00523618">
        <w:rPr>
          <w:rFonts w:cs="Arial"/>
        </w:rPr>
        <w:t>55</w:t>
      </w:r>
      <w:r w:rsidR="00076BFB" w:rsidRPr="00523618">
        <w:rPr>
          <w:rFonts w:cs="Arial"/>
        </w:rPr>
        <w:t xml:space="preserve">m </w:t>
      </w:r>
      <w:r w:rsidR="000B64C2">
        <w:rPr>
          <w:rFonts w:cs="Arial"/>
        </w:rPr>
        <w:t xml:space="preserve">and </w:t>
      </w:r>
      <w:r w:rsidR="00076BFB" w:rsidRPr="00523618">
        <w:rPr>
          <w:rFonts w:cs="Arial"/>
        </w:rPr>
        <w:t>is paid out to education providers</w:t>
      </w:r>
      <w:r w:rsidR="00523618" w:rsidRPr="00523618">
        <w:rPr>
          <w:rFonts w:cs="Arial"/>
        </w:rPr>
        <w:t>.</w:t>
      </w:r>
    </w:p>
    <w:p w14:paraId="104F8BD0" w14:textId="4194BEBB" w:rsidR="001B7300" w:rsidRDefault="001B7300" w:rsidP="001B7300">
      <w:pPr>
        <w:jc w:val="both"/>
        <w:rPr>
          <w:rFonts w:cs="Arial"/>
          <w:b/>
          <w:bCs/>
        </w:rPr>
      </w:pPr>
    </w:p>
    <w:p w14:paraId="2A724D85" w14:textId="77777777" w:rsidR="004620D4" w:rsidRDefault="004620D4" w:rsidP="001B7300">
      <w:pPr>
        <w:ind w:left="460"/>
        <w:jc w:val="both"/>
        <w:rPr>
          <w:rFonts w:cs="Arial"/>
          <w:b/>
          <w:bCs/>
          <w:color w:val="C00000"/>
        </w:rPr>
      </w:pPr>
    </w:p>
    <w:p w14:paraId="0265F0DE" w14:textId="18CE9038" w:rsidR="001B7300" w:rsidRPr="004620D4" w:rsidRDefault="001B7300" w:rsidP="001B7300">
      <w:pPr>
        <w:ind w:left="460"/>
        <w:jc w:val="both"/>
        <w:rPr>
          <w:rFonts w:cs="Arial"/>
          <w:b/>
          <w:bCs/>
        </w:rPr>
      </w:pPr>
      <w:r w:rsidRPr="004620D4">
        <w:rPr>
          <w:rFonts w:cs="Arial"/>
          <w:b/>
          <w:bCs/>
        </w:rPr>
        <w:t>SAVINGS TRACKER</w:t>
      </w:r>
    </w:p>
    <w:p w14:paraId="7FE85B27" w14:textId="77777777" w:rsidR="001B7300" w:rsidRPr="004620D4" w:rsidRDefault="001B7300" w:rsidP="001B7300">
      <w:pPr>
        <w:jc w:val="both"/>
        <w:rPr>
          <w:rFonts w:cs="Arial"/>
          <w:b/>
          <w:bCs/>
        </w:rPr>
      </w:pPr>
    </w:p>
    <w:p w14:paraId="37AC3BC1" w14:textId="7747D976" w:rsidR="001B7300" w:rsidRPr="004620D4" w:rsidRDefault="001B7300" w:rsidP="008F0A24">
      <w:pPr>
        <w:pStyle w:val="ListParagraph"/>
        <w:numPr>
          <w:ilvl w:val="0"/>
          <w:numId w:val="4"/>
        </w:numPr>
        <w:ind w:left="460" w:hanging="567"/>
        <w:jc w:val="both"/>
        <w:rPr>
          <w:rFonts w:cs="Arial"/>
          <w:b/>
          <w:bCs/>
        </w:rPr>
      </w:pPr>
      <w:r w:rsidRPr="004620D4">
        <w:rPr>
          <w:rFonts w:cs="Arial"/>
        </w:rPr>
        <w:t>Attached at Appendix 2 is the MTFS Savings Tracker.</w:t>
      </w:r>
    </w:p>
    <w:p w14:paraId="1A6E765C" w14:textId="057131BE" w:rsidR="008C14A3" w:rsidRDefault="008C14A3" w:rsidP="000011EA">
      <w:pPr>
        <w:ind w:left="-709" w:hanging="142"/>
        <w:jc w:val="both"/>
        <w:rPr>
          <w:rFonts w:cs="Arial"/>
          <w:b/>
          <w:bCs/>
          <w:color w:val="C00000"/>
        </w:rPr>
      </w:pPr>
    </w:p>
    <w:tbl>
      <w:tblPr>
        <w:tblStyle w:val="TableGrid"/>
        <w:tblW w:w="0" w:type="auto"/>
        <w:tblLook w:val="04A0" w:firstRow="1" w:lastRow="0" w:firstColumn="1" w:lastColumn="0" w:noHBand="0" w:noVBand="1"/>
      </w:tblPr>
      <w:tblGrid>
        <w:gridCol w:w="1079"/>
        <w:gridCol w:w="1342"/>
        <w:gridCol w:w="1243"/>
        <w:gridCol w:w="1087"/>
        <w:gridCol w:w="1056"/>
        <w:gridCol w:w="1106"/>
        <w:gridCol w:w="1052"/>
        <w:gridCol w:w="1054"/>
      </w:tblGrid>
      <w:tr w:rsidR="000011EA" w14:paraId="05C20A30" w14:textId="77777777" w:rsidTr="000011EA">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8FA7032" w14:textId="15EDDF4E" w:rsidR="000011EA" w:rsidRPr="000011EA" w:rsidRDefault="000011EA" w:rsidP="000011EA">
            <w:pPr>
              <w:jc w:val="both"/>
              <w:rPr>
                <w:rFonts w:cs="Arial"/>
                <w:b/>
                <w:bCs/>
                <w:color w:val="C00000"/>
              </w:rPr>
            </w:pPr>
            <w:r w:rsidRPr="000011EA">
              <w:rPr>
                <w:rFonts w:cs="Arial"/>
                <w:b/>
                <w:bCs/>
                <w:sz w:val="22"/>
                <w:szCs w:val="22"/>
              </w:rPr>
              <w:t>Rag Rating</w:t>
            </w:r>
          </w:p>
        </w:tc>
        <w:tc>
          <w:tcPr>
            <w:tcW w:w="1127" w:type="dxa"/>
            <w:tcBorders>
              <w:top w:val="single" w:sz="4" w:space="0" w:color="auto"/>
              <w:left w:val="nil"/>
              <w:bottom w:val="single" w:sz="4" w:space="0" w:color="auto"/>
              <w:right w:val="single" w:sz="4" w:space="0" w:color="auto"/>
            </w:tcBorders>
            <w:shd w:val="clear" w:color="auto" w:fill="auto"/>
            <w:vAlign w:val="center"/>
          </w:tcPr>
          <w:p w14:paraId="3AAF1AF6" w14:textId="619C6E4E" w:rsidR="000011EA" w:rsidRPr="000011EA" w:rsidRDefault="000011EA" w:rsidP="000011EA">
            <w:pPr>
              <w:jc w:val="center"/>
              <w:rPr>
                <w:rFonts w:cs="Arial"/>
                <w:b/>
                <w:bCs/>
                <w:color w:val="C00000"/>
              </w:rPr>
            </w:pPr>
            <w:r w:rsidRPr="000011EA">
              <w:rPr>
                <w:rFonts w:cs="Arial"/>
                <w:b/>
                <w:bCs/>
                <w:sz w:val="22"/>
                <w:szCs w:val="22"/>
              </w:rPr>
              <w:t>Resources</w:t>
            </w:r>
          </w:p>
        </w:tc>
        <w:tc>
          <w:tcPr>
            <w:tcW w:w="1127" w:type="dxa"/>
            <w:tcBorders>
              <w:top w:val="single" w:sz="4" w:space="0" w:color="auto"/>
              <w:left w:val="nil"/>
              <w:bottom w:val="single" w:sz="4" w:space="0" w:color="auto"/>
              <w:right w:val="single" w:sz="4" w:space="0" w:color="auto"/>
            </w:tcBorders>
            <w:shd w:val="clear" w:color="auto" w:fill="auto"/>
            <w:vAlign w:val="center"/>
          </w:tcPr>
          <w:p w14:paraId="6AAA1F50" w14:textId="45B9A982" w:rsidR="000011EA" w:rsidRPr="000011EA" w:rsidRDefault="00A8393C" w:rsidP="000011EA">
            <w:pPr>
              <w:jc w:val="center"/>
              <w:rPr>
                <w:rFonts w:cs="Arial"/>
                <w:b/>
                <w:bCs/>
                <w:color w:val="C00000"/>
              </w:rPr>
            </w:pPr>
            <w:r>
              <w:rPr>
                <w:rFonts w:cs="Arial"/>
                <w:b/>
                <w:bCs/>
                <w:sz w:val="22"/>
                <w:szCs w:val="22"/>
              </w:rPr>
              <w:t>Managing Director</w:t>
            </w:r>
          </w:p>
        </w:tc>
        <w:tc>
          <w:tcPr>
            <w:tcW w:w="1127" w:type="dxa"/>
            <w:tcBorders>
              <w:top w:val="single" w:sz="4" w:space="0" w:color="auto"/>
              <w:left w:val="nil"/>
              <w:bottom w:val="single" w:sz="4" w:space="0" w:color="auto"/>
              <w:right w:val="single" w:sz="4" w:space="0" w:color="auto"/>
            </w:tcBorders>
            <w:shd w:val="clear" w:color="auto" w:fill="auto"/>
            <w:vAlign w:val="center"/>
          </w:tcPr>
          <w:p w14:paraId="1B803900" w14:textId="4A3A3341" w:rsidR="000011EA" w:rsidRPr="000011EA" w:rsidRDefault="000011EA" w:rsidP="000011EA">
            <w:pPr>
              <w:jc w:val="center"/>
              <w:rPr>
                <w:rFonts w:cs="Arial"/>
                <w:b/>
                <w:bCs/>
                <w:color w:val="C00000"/>
              </w:rPr>
            </w:pPr>
            <w:r w:rsidRPr="000011EA">
              <w:rPr>
                <w:rFonts w:cs="Arial"/>
                <w:b/>
                <w:bCs/>
                <w:sz w:val="22"/>
                <w:szCs w:val="22"/>
              </w:rPr>
              <w:t>Total People</w:t>
            </w:r>
          </w:p>
        </w:tc>
        <w:tc>
          <w:tcPr>
            <w:tcW w:w="1127" w:type="dxa"/>
            <w:tcBorders>
              <w:top w:val="single" w:sz="4" w:space="0" w:color="auto"/>
              <w:left w:val="nil"/>
              <w:bottom w:val="single" w:sz="4" w:space="0" w:color="auto"/>
              <w:right w:val="single" w:sz="4" w:space="0" w:color="auto"/>
            </w:tcBorders>
            <w:shd w:val="clear" w:color="auto" w:fill="auto"/>
            <w:vAlign w:val="center"/>
          </w:tcPr>
          <w:p w14:paraId="21176EEC" w14:textId="35CD11F1" w:rsidR="000011EA" w:rsidRPr="000011EA" w:rsidRDefault="000011EA" w:rsidP="000011EA">
            <w:pPr>
              <w:jc w:val="center"/>
              <w:rPr>
                <w:rFonts w:cs="Arial"/>
                <w:b/>
                <w:bCs/>
                <w:color w:val="C00000"/>
              </w:rPr>
            </w:pPr>
            <w:r w:rsidRPr="000011EA">
              <w:rPr>
                <w:rFonts w:cs="Arial"/>
                <w:b/>
                <w:bCs/>
                <w:sz w:val="22"/>
                <w:szCs w:val="22"/>
              </w:rPr>
              <w:t>Total Place</w:t>
            </w:r>
          </w:p>
        </w:tc>
        <w:tc>
          <w:tcPr>
            <w:tcW w:w="1128" w:type="dxa"/>
            <w:tcBorders>
              <w:top w:val="single" w:sz="4" w:space="0" w:color="auto"/>
              <w:left w:val="nil"/>
              <w:bottom w:val="single" w:sz="4" w:space="0" w:color="auto"/>
              <w:right w:val="single" w:sz="4" w:space="0" w:color="auto"/>
            </w:tcBorders>
            <w:shd w:val="clear" w:color="auto" w:fill="auto"/>
            <w:vAlign w:val="center"/>
          </w:tcPr>
          <w:p w14:paraId="1B0716DF" w14:textId="58C92352" w:rsidR="000011EA" w:rsidRPr="000011EA" w:rsidRDefault="000011EA" w:rsidP="000011EA">
            <w:pPr>
              <w:jc w:val="center"/>
              <w:rPr>
                <w:rFonts w:cs="Arial"/>
                <w:b/>
                <w:bCs/>
                <w:color w:val="C00000"/>
              </w:rPr>
            </w:pPr>
            <w:r w:rsidRPr="000011EA">
              <w:rPr>
                <w:rFonts w:cs="Arial"/>
                <w:b/>
                <w:bCs/>
                <w:sz w:val="22"/>
                <w:szCs w:val="22"/>
              </w:rPr>
              <w:t>Council Wide</w:t>
            </w:r>
          </w:p>
        </w:tc>
        <w:tc>
          <w:tcPr>
            <w:tcW w:w="1128" w:type="dxa"/>
            <w:tcBorders>
              <w:top w:val="single" w:sz="4" w:space="0" w:color="auto"/>
              <w:left w:val="nil"/>
              <w:bottom w:val="single" w:sz="4" w:space="0" w:color="auto"/>
              <w:right w:val="single" w:sz="4" w:space="0" w:color="auto"/>
            </w:tcBorders>
            <w:shd w:val="clear" w:color="auto" w:fill="auto"/>
            <w:vAlign w:val="center"/>
          </w:tcPr>
          <w:p w14:paraId="7A053942" w14:textId="375CDB87" w:rsidR="000011EA" w:rsidRPr="000011EA" w:rsidRDefault="000011EA" w:rsidP="000011EA">
            <w:pPr>
              <w:jc w:val="center"/>
              <w:rPr>
                <w:rFonts w:cs="Arial"/>
                <w:b/>
                <w:bCs/>
                <w:color w:val="C00000"/>
              </w:rPr>
            </w:pPr>
            <w:r w:rsidRPr="000011EA">
              <w:rPr>
                <w:rFonts w:cs="Arial"/>
                <w:b/>
                <w:bCs/>
                <w:sz w:val="22"/>
                <w:szCs w:val="22"/>
              </w:rPr>
              <w:t>Total</w:t>
            </w:r>
          </w:p>
        </w:tc>
        <w:tc>
          <w:tcPr>
            <w:tcW w:w="1128" w:type="dxa"/>
            <w:tcBorders>
              <w:top w:val="single" w:sz="4" w:space="0" w:color="auto"/>
              <w:left w:val="nil"/>
              <w:bottom w:val="single" w:sz="4" w:space="0" w:color="auto"/>
              <w:right w:val="single" w:sz="4" w:space="0" w:color="auto"/>
            </w:tcBorders>
            <w:shd w:val="clear" w:color="auto" w:fill="auto"/>
            <w:vAlign w:val="center"/>
          </w:tcPr>
          <w:p w14:paraId="3572876C" w14:textId="005EA29D" w:rsidR="000011EA" w:rsidRPr="000011EA" w:rsidRDefault="000011EA" w:rsidP="000011EA">
            <w:pPr>
              <w:jc w:val="center"/>
              <w:rPr>
                <w:rFonts w:cs="Arial"/>
                <w:b/>
                <w:bCs/>
                <w:color w:val="C00000"/>
              </w:rPr>
            </w:pPr>
            <w:r w:rsidRPr="000011EA">
              <w:rPr>
                <w:rFonts w:cs="Arial"/>
                <w:b/>
                <w:bCs/>
                <w:sz w:val="22"/>
                <w:szCs w:val="22"/>
              </w:rPr>
              <w:t>%</w:t>
            </w:r>
          </w:p>
        </w:tc>
      </w:tr>
      <w:tr w:rsidR="000011EA" w14:paraId="5B424BFC" w14:textId="77777777" w:rsidTr="000011EA">
        <w:tc>
          <w:tcPr>
            <w:tcW w:w="1127" w:type="dxa"/>
            <w:tcBorders>
              <w:top w:val="nil"/>
              <w:left w:val="single" w:sz="4" w:space="0" w:color="auto"/>
              <w:bottom w:val="single" w:sz="4" w:space="0" w:color="auto"/>
              <w:right w:val="single" w:sz="4" w:space="0" w:color="auto"/>
            </w:tcBorders>
            <w:shd w:val="clear" w:color="auto" w:fill="auto"/>
            <w:vAlign w:val="bottom"/>
          </w:tcPr>
          <w:p w14:paraId="000D7FA6" w14:textId="299E58C8" w:rsidR="000011EA" w:rsidRPr="000011EA" w:rsidRDefault="000011EA" w:rsidP="000011EA">
            <w:pPr>
              <w:jc w:val="both"/>
              <w:rPr>
                <w:rFonts w:cs="Arial"/>
                <w:b/>
                <w:bCs/>
                <w:color w:val="C00000"/>
              </w:rPr>
            </w:pPr>
            <w:r w:rsidRPr="000011EA">
              <w:rPr>
                <w:rFonts w:cs="Arial"/>
                <w:sz w:val="20"/>
              </w:rPr>
              <w:t> </w:t>
            </w:r>
          </w:p>
        </w:tc>
        <w:tc>
          <w:tcPr>
            <w:tcW w:w="1127" w:type="dxa"/>
            <w:tcBorders>
              <w:top w:val="nil"/>
              <w:left w:val="nil"/>
              <w:bottom w:val="single" w:sz="4" w:space="0" w:color="auto"/>
              <w:right w:val="single" w:sz="4" w:space="0" w:color="auto"/>
            </w:tcBorders>
            <w:shd w:val="clear" w:color="auto" w:fill="auto"/>
            <w:vAlign w:val="center"/>
          </w:tcPr>
          <w:p w14:paraId="20E6BD3A" w14:textId="499108F9" w:rsidR="000011EA" w:rsidRPr="000011EA" w:rsidRDefault="000011EA" w:rsidP="000011EA">
            <w:pPr>
              <w:jc w:val="center"/>
              <w:rPr>
                <w:rFonts w:cs="Arial"/>
                <w:b/>
                <w:bCs/>
                <w:color w:val="C00000"/>
              </w:rPr>
            </w:pPr>
            <w:r w:rsidRPr="000011EA">
              <w:rPr>
                <w:rFonts w:cs="Arial"/>
                <w:b/>
                <w:bCs/>
                <w:sz w:val="22"/>
                <w:szCs w:val="22"/>
              </w:rPr>
              <w:t>£000</w:t>
            </w:r>
          </w:p>
        </w:tc>
        <w:tc>
          <w:tcPr>
            <w:tcW w:w="1127" w:type="dxa"/>
            <w:tcBorders>
              <w:top w:val="nil"/>
              <w:left w:val="nil"/>
              <w:bottom w:val="single" w:sz="4" w:space="0" w:color="auto"/>
              <w:right w:val="single" w:sz="4" w:space="0" w:color="auto"/>
            </w:tcBorders>
            <w:shd w:val="clear" w:color="auto" w:fill="auto"/>
            <w:vAlign w:val="center"/>
          </w:tcPr>
          <w:p w14:paraId="4EF61D35" w14:textId="5C120B2E" w:rsidR="000011EA" w:rsidRPr="000011EA" w:rsidRDefault="000011EA" w:rsidP="000011EA">
            <w:pPr>
              <w:jc w:val="center"/>
              <w:rPr>
                <w:rFonts w:cs="Arial"/>
                <w:b/>
                <w:bCs/>
                <w:color w:val="C00000"/>
              </w:rPr>
            </w:pPr>
            <w:r w:rsidRPr="000011EA">
              <w:rPr>
                <w:rFonts w:cs="Arial"/>
                <w:b/>
                <w:bCs/>
                <w:sz w:val="22"/>
                <w:szCs w:val="22"/>
              </w:rPr>
              <w:t>£000</w:t>
            </w:r>
          </w:p>
        </w:tc>
        <w:tc>
          <w:tcPr>
            <w:tcW w:w="1127" w:type="dxa"/>
            <w:tcBorders>
              <w:top w:val="nil"/>
              <w:left w:val="nil"/>
              <w:bottom w:val="single" w:sz="4" w:space="0" w:color="auto"/>
              <w:right w:val="single" w:sz="4" w:space="0" w:color="auto"/>
            </w:tcBorders>
            <w:shd w:val="clear" w:color="auto" w:fill="auto"/>
            <w:vAlign w:val="center"/>
          </w:tcPr>
          <w:p w14:paraId="52CB5823" w14:textId="66EFAAC3" w:rsidR="000011EA" w:rsidRPr="000011EA" w:rsidRDefault="000011EA" w:rsidP="000011EA">
            <w:pPr>
              <w:jc w:val="center"/>
              <w:rPr>
                <w:rFonts w:cs="Arial"/>
                <w:b/>
                <w:bCs/>
                <w:color w:val="C00000"/>
              </w:rPr>
            </w:pPr>
            <w:r w:rsidRPr="000011EA">
              <w:rPr>
                <w:rFonts w:cs="Arial"/>
                <w:b/>
                <w:bCs/>
                <w:sz w:val="22"/>
                <w:szCs w:val="22"/>
              </w:rPr>
              <w:t>£000</w:t>
            </w:r>
          </w:p>
        </w:tc>
        <w:tc>
          <w:tcPr>
            <w:tcW w:w="1127" w:type="dxa"/>
            <w:tcBorders>
              <w:top w:val="nil"/>
              <w:left w:val="nil"/>
              <w:bottom w:val="single" w:sz="4" w:space="0" w:color="auto"/>
              <w:right w:val="single" w:sz="4" w:space="0" w:color="auto"/>
            </w:tcBorders>
            <w:shd w:val="clear" w:color="auto" w:fill="auto"/>
            <w:vAlign w:val="center"/>
          </w:tcPr>
          <w:p w14:paraId="5E012768" w14:textId="1376E325" w:rsidR="000011EA" w:rsidRPr="000011EA" w:rsidRDefault="000011EA" w:rsidP="000011EA">
            <w:pPr>
              <w:jc w:val="center"/>
              <w:rPr>
                <w:rFonts w:cs="Arial"/>
                <w:b/>
                <w:bCs/>
                <w:color w:val="C00000"/>
              </w:rPr>
            </w:pPr>
            <w:r w:rsidRPr="000011EA">
              <w:rPr>
                <w:rFonts w:cs="Arial"/>
                <w:b/>
                <w:bCs/>
                <w:sz w:val="22"/>
                <w:szCs w:val="22"/>
              </w:rPr>
              <w:t>£000</w:t>
            </w:r>
          </w:p>
        </w:tc>
        <w:tc>
          <w:tcPr>
            <w:tcW w:w="1128" w:type="dxa"/>
            <w:tcBorders>
              <w:top w:val="nil"/>
              <w:left w:val="nil"/>
              <w:bottom w:val="single" w:sz="4" w:space="0" w:color="auto"/>
              <w:right w:val="single" w:sz="4" w:space="0" w:color="auto"/>
            </w:tcBorders>
            <w:shd w:val="clear" w:color="auto" w:fill="auto"/>
            <w:vAlign w:val="center"/>
          </w:tcPr>
          <w:p w14:paraId="6D51A1D0" w14:textId="52F4AFEC" w:rsidR="000011EA" w:rsidRPr="000011EA" w:rsidRDefault="000011EA" w:rsidP="000011EA">
            <w:pPr>
              <w:jc w:val="center"/>
              <w:rPr>
                <w:rFonts w:cs="Arial"/>
                <w:b/>
                <w:bCs/>
                <w:color w:val="C00000"/>
              </w:rPr>
            </w:pPr>
            <w:r w:rsidRPr="000011EA">
              <w:rPr>
                <w:rFonts w:cs="Arial"/>
                <w:b/>
                <w:bCs/>
                <w:sz w:val="22"/>
                <w:szCs w:val="22"/>
              </w:rPr>
              <w:t>£000</w:t>
            </w:r>
          </w:p>
        </w:tc>
        <w:tc>
          <w:tcPr>
            <w:tcW w:w="1128" w:type="dxa"/>
            <w:tcBorders>
              <w:top w:val="nil"/>
              <w:left w:val="nil"/>
              <w:bottom w:val="single" w:sz="4" w:space="0" w:color="auto"/>
              <w:right w:val="single" w:sz="4" w:space="0" w:color="auto"/>
            </w:tcBorders>
            <w:shd w:val="clear" w:color="auto" w:fill="auto"/>
            <w:vAlign w:val="center"/>
          </w:tcPr>
          <w:p w14:paraId="6FB98B04" w14:textId="100DD464" w:rsidR="000011EA" w:rsidRPr="000011EA" w:rsidRDefault="000011EA" w:rsidP="000011EA">
            <w:pPr>
              <w:jc w:val="center"/>
              <w:rPr>
                <w:rFonts w:cs="Arial"/>
                <w:b/>
                <w:bCs/>
                <w:color w:val="C00000"/>
              </w:rPr>
            </w:pPr>
            <w:r w:rsidRPr="000011EA">
              <w:rPr>
                <w:rFonts w:cs="Arial"/>
                <w:b/>
                <w:bCs/>
                <w:sz w:val="22"/>
                <w:szCs w:val="22"/>
              </w:rPr>
              <w:t>£000</w:t>
            </w:r>
          </w:p>
        </w:tc>
        <w:tc>
          <w:tcPr>
            <w:tcW w:w="1128" w:type="dxa"/>
            <w:tcBorders>
              <w:top w:val="nil"/>
              <w:left w:val="nil"/>
              <w:bottom w:val="single" w:sz="4" w:space="0" w:color="auto"/>
              <w:right w:val="single" w:sz="4" w:space="0" w:color="auto"/>
            </w:tcBorders>
            <w:shd w:val="clear" w:color="auto" w:fill="auto"/>
            <w:vAlign w:val="bottom"/>
          </w:tcPr>
          <w:p w14:paraId="3C170C5E" w14:textId="3B43B9F4" w:rsidR="000011EA" w:rsidRPr="000011EA" w:rsidRDefault="000011EA" w:rsidP="000011EA">
            <w:pPr>
              <w:jc w:val="center"/>
              <w:rPr>
                <w:rFonts w:cs="Arial"/>
                <w:b/>
                <w:bCs/>
                <w:color w:val="C00000"/>
              </w:rPr>
            </w:pPr>
          </w:p>
        </w:tc>
      </w:tr>
      <w:tr w:rsidR="00A8393C" w14:paraId="1F81111B" w14:textId="77777777" w:rsidTr="000011EA">
        <w:tc>
          <w:tcPr>
            <w:tcW w:w="1127" w:type="dxa"/>
            <w:tcBorders>
              <w:top w:val="nil"/>
              <w:left w:val="single" w:sz="4" w:space="0" w:color="auto"/>
              <w:bottom w:val="single" w:sz="4" w:space="0" w:color="auto"/>
              <w:right w:val="single" w:sz="4" w:space="0" w:color="auto"/>
            </w:tcBorders>
            <w:shd w:val="clear" w:color="000000" w:fill="FF0000"/>
            <w:vAlign w:val="bottom"/>
          </w:tcPr>
          <w:p w14:paraId="1969FA96" w14:textId="0FEC50F9" w:rsidR="000011EA" w:rsidRPr="000011EA" w:rsidRDefault="000011EA" w:rsidP="000011EA">
            <w:pPr>
              <w:jc w:val="both"/>
              <w:rPr>
                <w:rFonts w:cs="Arial"/>
                <w:b/>
                <w:bCs/>
                <w:color w:val="C00000"/>
              </w:rPr>
            </w:pPr>
            <w:r w:rsidRPr="000011EA">
              <w:rPr>
                <w:rFonts w:cs="Arial"/>
                <w:b/>
                <w:bCs/>
                <w:sz w:val="20"/>
              </w:rPr>
              <w:t>Red</w:t>
            </w:r>
          </w:p>
        </w:tc>
        <w:tc>
          <w:tcPr>
            <w:tcW w:w="1127" w:type="dxa"/>
            <w:tcBorders>
              <w:top w:val="nil"/>
              <w:left w:val="nil"/>
              <w:bottom w:val="single" w:sz="4" w:space="0" w:color="auto"/>
              <w:right w:val="single" w:sz="4" w:space="0" w:color="auto"/>
            </w:tcBorders>
            <w:shd w:val="clear" w:color="000000" w:fill="FFFFFF"/>
            <w:vAlign w:val="bottom"/>
          </w:tcPr>
          <w:p w14:paraId="11BEFF86" w14:textId="77EB1308" w:rsidR="000011EA" w:rsidRPr="000011EA" w:rsidRDefault="000011EA" w:rsidP="000011EA">
            <w:pPr>
              <w:jc w:val="right"/>
              <w:rPr>
                <w:rFonts w:cs="Arial"/>
                <w:b/>
                <w:bCs/>
                <w:color w:val="C00000"/>
              </w:rPr>
            </w:pPr>
            <w:r w:rsidRPr="000011EA">
              <w:rPr>
                <w:rFonts w:cs="Arial"/>
                <w:sz w:val="22"/>
                <w:szCs w:val="22"/>
              </w:rPr>
              <w:t>0</w:t>
            </w:r>
          </w:p>
        </w:tc>
        <w:tc>
          <w:tcPr>
            <w:tcW w:w="1127" w:type="dxa"/>
            <w:tcBorders>
              <w:top w:val="nil"/>
              <w:left w:val="nil"/>
              <w:bottom w:val="single" w:sz="4" w:space="0" w:color="auto"/>
              <w:right w:val="single" w:sz="4" w:space="0" w:color="auto"/>
            </w:tcBorders>
            <w:shd w:val="clear" w:color="000000" w:fill="FFFFFF"/>
            <w:vAlign w:val="bottom"/>
          </w:tcPr>
          <w:p w14:paraId="675D5F8A" w14:textId="10460B0D" w:rsidR="000011EA" w:rsidRPr="000011EA" w:rsidRDefault="000011EA" w:rsidP="000011EA">
            <w:pPr>
              <w:jc w:val="right"/>
              <w:rPr>
                <w:rFonts w:cs="Arial"/>
                <w:b/>
                <w:bCs/>
                <w:color w:val="C00000"/>
              </w:rPr>
            </w:pPr>
            <w:r w:rsidRPr="000011EA">
              <w:rPr>
                <w:rFonts w:cs="Arial"/>
                <w:sz w:val="22"/>
                <w:szCs w:val="22"/>
              </w:rPr>
              <w:t>0</w:t>
            </w:r>
          </w:p>
        </w:tc>
        <w:tc>
          <w:tcPr>
            <w:tcW w:w="1127" w:type="dxa"/>
            <w:tcBorders>
              <w:top w:val="nil"/>
              <w:left w:val="nil"/>
              <w:bottom w:val="single" w:sz="4" w:space="0" w:color="auto"/>
              <w:right w:val="single" w:sz="4" w:space="0" w:color="auto"/>
            </w:tcBorders>
            <w:shd w:val="clear" w:color="000000" w:fill="FFFFFF"/>
            <w:vAlign w:val="bottom"/>
          </w:tcPr>
          <w:p w14:paraId="04272341" w14:textId="2E3B738F" w:rsidR="000011EA" w:rsidRPr="000011EA" w:rsidRDefault="000011EA" w:rsidP="000011EA">
            <w:pPr>
              <w:jc w:val="right"/>
              <w:rPr>
                <w:rFonts w:cs="Arial"/>
                <w:b/>
                <w:bCs/>
                <w:color w:val="C00000"/>
              </w:rPr>
            </w:pPr>
            <w:r w:rsidRPr="000011EA">
              <w:rPr>
                <w:rFonts w:cs="Arial"/>
                <w:sz w:val="22"/>
                <w:szCs w:val="22"/>
              </w:rPr>
              <w:t>-</w:t>
            </w:r>
            <w:r w:rsidR="00A02570">
              <w:rPr>
                <w:rFonts w:cs="Arial"/>
                <w:sz w:val="22"/>
                <w:szCs w:val="22"/>
              </w:rPr>
              <w:t>290</w:t>
            </w:r>
          </w:p>
        </w:tc>
        <w:tc>
          <w:tcPr>
            <w:tcW w:w="1127" w:type="dxa"/>
            <w:tcBorders>
              <w:top w:val="nil"/>
              <w:left w:val="nil"/>
              <w:bottom w:val="single" w:sz="4" w:space="0" w:color="auto"/>
              <w:right w:val="single" w:sz="4" w:space="0" w:color="auto"/>
            </w:tcBorders>
            <w:shd w:val="clear" w:color="000000" w:fill="FFFFFF"/>
            <w:vAlign w:val="bottom"/>
          </w:tcPr>
          <w:p w14:paraId="6C801A3A" w14:textId="4FC65493" w:rsidR="000011EA" w:rsidRPr="000011EA" w:rsidRDefault="000011EA" w:rsidP="000011EA">
            <w:pPr>
              <w:jc w:val="right"/>
              <w:rPr>
                <w:rFonts w:cs="Arial"/>
                <w:b/>
                <w:bCs/>
                <w:color w:val="C00000"/>
              </w:rPr>
            </w:pPr>
            <w:r w:rsidRPr="000011EA">
              <w:rPr>
                <w:rFonts w:cs="Arial"/>
                <w:sz w:val="22"/>
                <w:szCs w:val="22"/>
              </w:rPr>
              <w:t>-2,616</w:t>
            </w:r>
          </w:p>
        </w:tc>
        <w:tc>
          <w:tcPr>
            <w:tcW w:w="1128" w:type="dxa"/>
            <w:tcBorders>
              <w:top w:val="nil"/>
              <w:left w:val="nil"/>
              <w:bottom w:val="single" w:sz="4" w:space="0" w:color="auto"/>
              <w:right w:val="single" w:sz="4" w:space="0" w:color="auto"/>
            </w:tcBorders>
            <w:shd w:val="clear" w:color="auto" w:fill="auto"/>
            <w:vAlign w:val="bottom"/>
          </w:tcPr>
          <w:p w14:paraId="097B03F5" w14:textId="06A7792D" w:rsidR="000011EA" w:rsidRPr="000011EA" w:rsidRDefault="000011EA" w:rsidP="000011EA">
            <w:pPr>
              <w:jc w:val="right"/>
              <w:rPr>
                <w:rFonts w:cs="Arial"/>
                <w:b/>
                <w:bCs/>
                <w:color w:val="C00000"/>
              </w:rPr>
            </w:pPr>
            <w:r w:rsidRPr="000011EA">
              <w:rPr>
                <w:rFonts w:cs="Arial"/>
                <w:sz w:val="22"/>
                <w:szCs w:val="22"/>
              </w:rPr>
              <w:t>0</w:t>
            </w:r>
          </w:p>
        </w:tc>
        <w:tc>
          <w:tcPr>
            <w:tcW w:w="1128" w:type="dxa"/>
            <w:tcBorders>
              <w:top w:val="nil"/>
              <w:left w:val="nil"/>
              <w:bottom w:val="single" w:sz="4" w:space="0" w:color="auto"/>
              <w:right w:val="single" w:sz="4" w:space="0" w:color="auto"/>
            </w:tcBorders>
            <w:shd w:val="clear" w:color="000000" w:fill="FFFFFF"/>
            <w:vAlign w:val="bottom"/>
          </w:tcPr>
          <w:p w14:paraId="4F537C3C" w14:textId="47BA369E" w:rsidR="000011EA" w:rsidRPr="000011EA" w:rsidRDefault="00A02570" w:rsidP="000011EA">
            <w:pPr>
              <w:jc w:val="right"/>
              <w:rPr>
                <w:rFonts w:cs="Arial"/>
                <w:b/>
                <w:bCs/>
                <w:color w:val="C00000"/>
              </w:rPr>
            </w:pPr>
            <w:r>
              <w:rPr>
                <w:rFonts w:cs="Arial"/>
                <w:sz w:val="22"/>
                <w:szCs w:val="22"/>
              </w:rPr>
              <w:t>-2,906</w:t>
            </w:r>
          </w:p>
        </w:tc>
        <w:tc>
          <w:tcPr>
            <w:tcW w:w="1128" w:type="dxa"/>
            <w:tcBorders>
              <w:top w:val="nil"/>
              <w:left w:val="nil"/>
              <w:bottom w:val="single" w:sz="4" w:space="0" w:color="auto"/>
              <w:right w:val="single" w:sz="4" w:space="0" w:color="auto"/>
            </w:tcBorders>
            <w:shd w:val="clear" w:color="auto" w:fill="auto"/>
            <w:vAlign w:val="bottom"/>
          </w:tcPr>
          <w:p w14:paraId="50D1E668" w14:textId="7239D106" w:rsidR="000011EA" w:rsidRPr="000011EA" w:rsidRDefault="00A02570" w:rsidP="000011EA">
            <w:pPr>
              <w:jc w:val="both"/>
              <w:rPr>
                <w:rFonts w:cs="Arial"/>
                <w:b/>
                <w:bCs/>
                <w:color w:val="C00000"/>
              </w:rPr>
            </w:pPr>
            <w:r>
              <w:rPr>
                <w:rFonts w:cs="Arial"/>
                <w:sz w:val="22"/>
                <w:szCs w:val="22"/>
              </w:rPr>
              <w:t>31</w:t>
            </w:r>
            <w:r w:rsidR="000011EA" w:rsidRPr="000011EA">
              <w:rPr>
                <w:rFonts w:cs="Arial"/>
                <w:sz w:val="22"/>
                <w:szCs w:val="22"/>
              </w:rPr>
              <w:t>%</w:t>
            </w:r>
          </w:p>
        </w:tc>
      </w:tr>
      <w:tr w:rsidR="00A8393C" w14:paraId="16013EEC" w14:textId="77777777" w:rsidTr="000011EA">
        <w:tc>
          <w:tcPr>
            <w:tcW w:w="1127" w:type="dxa"/>
            <w:tcBorders>
              <w:top w:val="nil"/>
              <w:left w:val="single" w:sz="4" w:space="0" w:color="auto"/>
              <w:bottom w:val="single" w:sz="4" w:space="0" w:color="auto"/>
              <w:right w:val="single" w:sz="4" w:space="0" w:color="auto"/>
            </w:tcBorders>
            <w:shd w:val="clear" w:color="000000" w:fill="FFC000"/>
            <w:vAlign w:val="bottom"/>
          </w:tcPr>
          <w:p w14:paraId="3579ECCF" w14:textId="05EFFBC0" w:rsidR="000011EA" w:rsidRPr="000011EA" w:rsidRDefault="000011EA" w:rsidP="000011EA">
            <w:pPr>
              <w:jc w:val="both"/>
              <w:rPr>
                <w:rFonts w:cs="Arial"/>
                <w:b/>
                <w:bCs/>
                <w:color w:val="C00000"/>
              </w:rPr>
            </w:pPr>
            <w:r w:rsidRPr="000011EA">
              <w:rPr>
                <w:rFonts w:cs="Arial"/>
                <w:b/>
                <w:bCs/>
                <w:sz w:val="20"/>
              </w:rPr>
              <w:t>Amber</w:t>
            </w:r>
          </w:p>
        </w:tc>
        <w:tc>
          <w:tcPr>
            <w:tcW w:w="1127" w:type="dxa"/>
            <w:tcBorders>
              <w:top w:val="nil"/>
              <w:left w:val="nil"/>
              <w:bottom w:val="single" w:sz="4" w:space="0" w:color="auto"/>
              <w:right w:val="single" w:sz="4" w:space="0" w:color="auto"/>
            </w:tcBorders>
            <w:shd w:val="clear" w:color="000000" w:fill="FFFFFF"/>
            <w:vAlign w:val="bottom"/>
          </w:tcPr>
          <w:p w14:paraId="217E9D4A" w14:textId="6299B09E" w:rsidR="000011EA" w:rsidRPr="000011EA" w:rsidRDefault="000011EA" w:rsidP="000011EA">
            <w:pPr>
              <w:jc w:val="right"/>
              <w:rPr>
                <w:rFonts w:cs="Arial"/>
                <w:b/>
                <w:bCs/>
                <w:color w:val="C00000"/>
              </w:rPr>
            </w:pPr>
            <w:r w:rsidRPr="000011EA">
              <w:rPr>
                <w:rFonts w:cs="Arial"/>
                <w:sz w:val="22"/>
                <w:szCs w:val="22"/>
              </w:rPr>
              <w:t>-506</w:t>
            </w:r>
          </w:p>
        </w:tc>
        <w:tc>
          <w:tcPr>
            <w:tcW w:w="1127" w:type="dxa"/>
            <w:tcBorders>
              <w:top w:val="nil"/>
              <w:left w:val="nil"/>
              <w:bottom w:val="single" w:sz="4" w:space="0" w:color="auto"/>
              <w:right w:val="single" w:sz="4" w:space="0" w:color="auto"/>
            </w:tcBorders>
            <w:shd w:val="clear" w:color="000000" w:fill="FFFFFF"/>
            <w:vAlign w:val="bottom"/>
          </w:tcPr>
          <w:p w14:paraId="1164DC6E" w14:textId="3D197C42" w:rsidR="000011EA" w:rsidRPr="000011EA" w:rsidRDefault="000011EA" w:rsidP="000011EA">
            <w:pPr>
              <w:jc w:val="right"/>
              <w:rPr>
                <w:rFonts w:cs="Arial"/>
                <w:b/>
                <w:bCs/>
                <w:color w:val="C00000"/>
              </w:rPr>
            </w:pPr>
            <w:r w:rsidRPr="000011EA">
              <w:rPr>
                <w:rFonts w:cs="Arial"/>
                <w:sz w:val="22"/>
                <w:szCs w:val="22"/>
              </w:rPr>
              <w:t>-310</w:t>
            </w:r>
          </w:p>
        </w:tc>
        <w:tc>
          <w:tcPr>
            <w:tcW w:w="1127" w:type="dxa"/>
            <w:tcBorders>
              <w:top w:val="nil"/>
              <w:left w:val="nil"/>
              <w:bottom w:val="single" w:sz="4" w:space="0" w:color="auto"/>
              <w:right w:val="single" w:sz="4" w:space="0" w:color="auto"/>
            </w:tcBorders>
            <w:shd w:val="clear" w:color="000000" w:fill="FFFFFF"/>
            <w:vAlign w:val="bottom"/>
          </w:tcPr>
          <w:p w14:paraId="65691271" w14:textId="20E435CF" w:rsidR="000011EA" w:rsidRPr="000011EA" w:rsidRDefault="000011EA" w:rsidP="000011EA">
            <w:pPr>
              <w:jc w:val="right"/>
              <w:rPr>
                <w:rFonts w:cs="Arial"/>
                <w:b/>
                <w:bCs/>
                <w:color w:val="C00000"/>
              </w:rPr>
            </w:pPr>
            <w:r w:rsidRPr="000011EA">
              <w:rPr>
                <w:rFonts w:cs="Arial"/>
                <w:sz w:val="22"/>
                <w:szCs w:val="22"/>
              </w:rPr>
              <w:t>-</w:t>
            </w:r>
            <w:r w:rsidR="00A02570">
              <w:rPr>
                <w:rFonts w:cs="Arial"/>
                <w:sz w:val="22"/>
                <w:szCs w:val="22"/>
              </w:rPr>
              <w:t>1,314</w:t>
            </w:r>
          </w:p>
        </w:tc>
        <w:tc>
          <w:tcPr>
            <w:tcW w:w="1127" w:type="dxa"/>
            <w:tcBorders>
              <w:top w:val="nil"/>
              <w:left w:val="nil"/>
              <w:bottom w:val="single" w:sz="4" w:space="0" w:color="auto"/>
              <w:right w:val="single" w:sz="4" w:space="0" w:color="auto"/>
            </w:tcBorders>
            <w:shd w:val="clear" w:color="000000" w:fill="FFFFFF"/>
            <w:vAlign w:val="bottom"/>
          </w:tcPr>
          <w:p w14:paraId="0AF578E2" w14:textId="1FCBEB72" w:rsidR="000011EA" w:rsidRPr="000011EA" w:rsidRDefault="000011EA" w:rsidP="000011EA">
            <w:pPr>
              <w:jc w:val="right"/>
              <w:rPr>
                <w:rFonts w:cs="Arial"/>
                <w:b/>
                <w:bCs/>
                <w:color w:val="C00000"/>
              </w:rPr>
            </w:pPr>
            <w:r w:rsidRPr="000011EA">
              <w:rPr>
                <w:rFonts w:cs="Arial"/>
                <w:sz w:val="22"/>
                <w:szCs w:val="22"/>
              </w:rPr>
              <w:t>-1,040</w:t>
            </w:r>
          </w:p>
        </w:tc>
        <w:tc>
          <w:tcPr>
            <w:tcW w:w="1128" w:type="dxa"/>
            <w:tcBorders>
              <w:top w:val="nil"/>
              <w:left w:val="nil"/>
              <w:bottom w:val="single" w:sz="4" w:space="0" w:color="auto"/>
              <w:right w:val="single" w:sz="4" w:space="0" w:color="auto"/>
            </w:tcBorders>
            <w:shd w:val="clear" w:color="auto" w:fill="auto"/>
            <w:vAlign w:val="bottom"/>
          </w:tcPr>
          <w:p w14:paraId="062B24F0" w14:textId="6D143560" w:rsidR="000011EA" w:rsidRPr="000011EA" w:rsidRDefault="000011EA" w:rsidP="000011EA">
            <w:pPr>
              <w:jc w:val="right"/>
              <w:rPr>
                <w:rFonts w:cs="Arial"/>
                <w:b/>
                <w:bCs/>
                <w:color w:val="C00000"/>
              </w:rPr>
            </w:pPr>
            <w:r w:rsidRPr="000011EA">
              <w:rPr>
                <w:rFonts w:cs="Arial"/>
                <w:sz w:val="22"/>
                <w:szCs w:val="22"/>
              </w:rPr>
              <w:t>0</w:t>
            </w:r>
          </w:p>
        </w:tc>
        <w:tc>
          <w:tcPr>
            <w:tcW w:w="1128" w:type="dxa"/>
            <w:tcBorders>
              <w:top w:val="nil"/>
              <w:left w:val="nil"/>
              <w:bottom w:val="single" w:sz="4" w:space="0" w:color="auto"/>
              <w:right w:val="single" w:sz="4" w:space="0" w:color="auto"/>
            </w:tcBorders>
            <w:shd w:val="clear" w:color="000000" w:fill="FFFFFF"/>
            <w:vAlign w:val="bottom"/>
          </w:tcPr>
          <w:p w14:paraId="4034AC75" w14:textId="7F7C6F18" w:rsidR="000011EA" w:rsidRPr="000011EA" w:rsidRDefault="000011EA" w:rsidP="000011EA">
            <w:pPr>
              <w:jc w:val="right"/>
              <w:rPr>
                <w:rFonts w:cs="Arial"/>
                <w:b/>
                <w:bCs/>
                <w:color w:val="C00000"/>
              </w:rPr>
            </w:pPr>
            <w:r w:rsidRPr="000011EA">
              <w:rPr>
                <w:rFonts w:cs="Arial"/>
                <w:sz w:val="22"/>
                <w:szCs w:val="22"/>
              </w:rPr>
              <w:t>-</w:t>
            </w:r>
            <w:r w:rsidR="00A02570">
              <w:rPr>
                <w:rFonts w:cs="Arial"/>
                <w:sz w:val="22"/>
                <w:szCs w:val="22"/>
              </w:rPr>
              <w:t>3,170</w:t>
            </w:r>
          </w:p>
        </w:tc>
        <w:tc>
          <w:tcPr>
            <w:tcW w:w="1128" w:type="dxa"/>
            <w:tcBorders>
              <w:top w:val="nil"/>
              <w:left w:val="nil"/>
              <w:bottom w:val="single" w:sz="4" w:space="0" w:color="auto"/>
              <w:right w:val="single" w:sz="4" w:space="0" w:color="auto"/>
            </w:tcBorders>
            <w:shd w:val="clear" w:color="auto" w:fill="auto"/>
            <w:vAlign w:val="bottom"/>
          </w:tcPr>
          <w:p w14:paraId="3FC8D0DB" w14:textId="67E84660" w:rsidR="000011EA" w:rsidRPr="000011EA" w:rsidRDefault="00A02570" w:rsidP="000011EA">
            <w:pPr>
              <w:jc w:val="both"/>
              <w:rPr>
                <w:rFonts w:cs="Arial"/>
                <w:b/>
                <w:bCs/>
                <w:color w:val="C00000"/>
              </w:rPr>
            </w:pPr>
            <w:r>
              <w:rPr>
                <w:rFonts w:cs="Arial"/>
                <w:sz w:val="22"/>
                <w:szCs w:val="22"/>
              </w:rPr>
              <w:t>33</w:t>
            </w:r>
            <w:r w:rsidR="000011EA" w:rsidRPr="000011EA">
              <w:rPr>
                <w:rFonts w:cs="Arial"/>
                <w:sz w:val="22"/>
                <w:szCs w:val="22"/>
              </w:rPr>
              <w:t>%</w:t>
            </w:r>
          </w:p>
        </w:tc>
      </w:tr>
      <w:tr w:rsidR="00A8393C" w14:paraId="1085C008" w14:textId="77777777" w:rsidTr="000011EA">
        <w:tc>
          <w:tcPr>
            <w:tcW w:w="1127" w:type="dxa"/>
            <w:tcBorders>
              <w:top w:val="nil"/>
              <w:left w:val="single" w:sz="4" w:space="0" w:color="auto"/>
              <w:bottom w:val="single" w:sz="4" w:space="0" w:color="auto"/>
              <w:right w:val="single" w:sz="4" w:space="0" w:color="auto"/>
            </w:tcBorders>
            <w:shd w:val="clear" w:color="000000" w:fill="70AD47"/>
            <w:vAlign w:val="bottom"/>
          </w:tcPr>
          <w:p w14:paraId="48D7A3A6" w14:textId="1956474C" w:rsidR="000011EA" w:rsidRPr="000011EA" w:rsidRDefault="000011EA" w:rsidP="000011EA">
            <w:pPr>
              <w:jc w:val="both"/>
              <w:rPr>
                <w:rFonts w:cs="Arial"/>
                <w:b/>
                <w:bCs/>
                <w:color w:val="C00000"/>
              </w:rPr>
            </w:pPr>
            <w:r w:rsidRPr="000011EA">
              <w:rPr>
                <w:rFonts w:cs="Arial"/>
                <w:b/>
                <w:bCs/>
                <w:sz w:val="20"/>
              </w:rPr>
              <w:t>Green</w:t>
            </w:r>
          </w:p>
        </w:tc>
        <w:tc>
          <w:tcPr>
            <w:tcW w:w="1127" w:type="dxa"/>
            <w:tcBorders>
              <w:top w:val="nil"/>
              <w:left w:val="nil"/>
              <w:bottom w:val="single" w:sz="4" w:space="0" w:color="auto"/>
              <w:right w:val="single" w:sz="4" w:space="0" w:color="auto"/>
            </w:tcBorders>
            <w:shd w:val="clear" w:color="000000" w:fill="FFFFFF"/>
            <w:vAlign w:val="bottom"/>
          </w:tcPr>
          <w:p w14:paraId="13ADEED3" w14:textId="1DF9DE0B" w:rsidR="000011EA" w:rsidRPr="000011EA" w:rsidRDefault="000011EA" w:rsidP="000011EA">
            <w:pPr>
              <w:jc w:val="right"/>
              <w:rPr>
                <w:rFonts w:cs="Arial"/>
                <w:b/>
                <w:bCs/>
                <w:color w:val="C00000"/>
              </w:rPr>
            </w:pPr>
            <w:r w:rsidRPr="000011EA">
              <w:rPr>
                <w:rFonts w:cs="Arial"/>
                <w:sz w:val="22"/>
                <w:szCs w:val="22"/>
              </w:rPr>
              <w:t>-365</w:t>
            </w:r>
          </w:p>
        </w:tc>
        <w:tc>
          <w:tcPr>
            <w:tcW w:w="1127" w:type="dxa"/>
            <w:tcBorders>
              <w:top w:val="nil"/>
              <w:left w:val="nil"/>
              <w:bottom w:val="single" w:sz="4" w:space="0" w:color="auto"/>
              <w:right w:val="single" w:sz="4" w:space="0" w:color="auto"/>
            </w:tcBorders>
            <w:shd w:val="clear" w:color="000000" w:fill="FFFFFF"/>
            <w:vAlign w:val="bottom"/>
          </w:tcPr>
          <w:p w14:paraId="12AFCE20" w14:textId="15C7FEA7" w:rsidR="000011EA" w:rsidRPr="000011EA" w:rsidRDefault="000011EA" w:rsidP="000011EA">
            <w:pPr>
              <w:jc w:val="right"/>
              <w:rPr>
                <w:rFonts w:cs="Arial"/>
                <w:b/>
                <w:bCs/>
                <w:color w:val="C00000"/>
              </w:rPr>
            </w:pPr>
            <w:r w:rsidRPr="000011EA">
              <w:rPr>
                <w:rFonts w:cs="Arial"/>
                <w:sz w:val="22"/>
                <w:szCs w:val="22"/>
              </w:rPr>
              <w:t>-56</w:t>
            </w:r>
          </w:p>
        </w:tc>
        <w:tc>
          <w:tcPr>
            <w:tcW w:w="1127" w:type="dxa"/>
            <w:tcBorders>
              <w:top w:val="nil"/>
              <w:left w:val="nil"/>
              <w:bottom w:val="single" w:sz="4" w:space="0" w:color="auto"/>
              <w:right w:val="single" w:sz="4" w:space="0" w:color="auto"/>
            </w:tcBorders>
            <w:shd w:val="clear" w:color="000000" w:fill="FFFFFF"/>
            <w:vAlign w:val="bottom"/>
          </w:tcPr>
          <w:p w14:paraId="7D836150" w14:textId="36E12712" w:rsidR="000011EA" w:rsidRPr="000011EA" w:rsidRDefault="000011EA" w:rsidP="000011EA">
            <w:pPr>
              <w:jc w:val="right"/>
              <w:rPr>
                <w:rFonts w:cs="Arial"/>
                <w:b/>
                <w:bCs/>
                <w:color w:val="C00000"/>
              </w:rPr>
            </w:pPr>
            <w:r w:rsidRPr="000011EA">
              <w:rPr>
                <w:rFonts w:cs="Arial"/>
                <w:sz w:val="22"/>
                <w:szCs w:val="22"/>
              </w:rPr>
              <w:t>-</w:t>
            </w:r>
            <w:r w:rsidR="00A02570">
              <w:rPr>
                <w:rFonts w:cs="Arial"/>
                <w:sz w:val="22"/>
                <w:szCs w:val="22"/>
              </w:rPr>
              <w:t>1,494</w:t>
            </w:r>
          </w:p>
        </w:tc>
        <w:tc>
          <w:tcPr>
            <w:tcW w:w="1127" w:type="dxa"/>
            <w:tcBorders>
              <w:top w:val="nil"/>
              <w:left w:val="nil"/>
              <w:bottom w:val="single" w:sz="4" w:space="0" w:color="auto"/>
              <w:right w:val="single" w:sz="4" w:space="0" w:color="auto"/>
            </w:tcBorders>
            <w:shd w:val="clear" w:color="000000" w:fill="FFFFFF"/>
            <w:vAlign w:val="bottom"/>
          </w:tcPr>
          <w:p w14:paraId="3439230A" w14:textId="52B8EB14" w:rsidR="000011EA" w:rsidRPr="000011EA" w:rsidRDefault="000011EA" w:rsidP="000011EA">
            <w:pPr>
              <w:jc w:val="right"/>
              <w:rPr>
                <w:rFonts w:cs="Arial"/>
                <w:b/>
                <w:bCs/>
                <w:color w:val="C00000"/>
              </w:rPr>
            </w:pPr>
            <w:r w:rsidRPr="000011EA">
              <w:rPr>
                <w:rFonts w:cs="Arial"/>
                <w:sz w:val="22"/>
                <w:szCs w:val="22"/>
              </w:rPr>
              <w:t>-859</w:t>
            </w:r>
          </w:p>
        </w:tc>
        <w:tc>
          <w:tcPr>
            <w:tcW w:w="1128" w:type="dxa"/>
            <w:tcBorders>
              <w:top w:val="nil"/>
              <w:left w:val="nil"/>
              <w:bottom w:val="single" w:sz="4" w:space="0" w:color="auto"/>
              <w:right w:val="single" w:sz="4" w:space="0" w:color="auto"/>
            </w:tcBorders>
            <w:shd w:val="clear" w:color="auto" w:fill="auto"/>
            <w:vAlign w:val="bottom"/>
          </w:tcPr>
          <w:p w14:paraId="0F01FC8B" w14:textId="1B1F4EBC" w:rsidR="000011EA" w:rsidRPr="000011EA" w:rsidRDefault="000011EA" w:rsidP="000011EA">
            <w:pPr>
              <w:jc w:val="right"/>
              <w:rPr>
                <w:rFonts w:cs="Arial"/>
                <w:b/>
                <w:bCs/>
                <w:color w:val="C00000"/>
              </w:rPr>
            </w:pPr>
            <w:r w:rsidRPr="000011EA">
              <w:rPr>
                <w:rFonts w:cs="Arial"/>
                <w:sz w:val="22"/>
                <w:szCs w:val="22"/>
              </w:rPr>
              <w:t>-650</w:t>
            </w:r>
          </w:p>
        </w:tc>
        <w:tc>
          <w:tcPr>
            <w:tcW w:w="1128" w:type="dxa"/>
            <w:tcBorders>
              <w:top w:val="nil"/>
              <w:left w:val="nil"/>
              <w:bottom w:val="single" w:sz="4" w:space="0" w:color="auto"/>
              <w:right w:val="single" w:sz="4" w:space="0" w:color="auto"/>
            </w:tcBorders>
            <w:shd w:val="clear" w:color="000000" w:fill="FFFFFF"/>
            <w:vAlign w:val="bottom"/>
          </w:tcPr>
          <w:p w14:paraId="5A422607" w14:textId="64FCFE12" w:rsidR="000011EA" w:rsidRPr="000011EA" w:rsidRDefault="000011EA" w:rsidP="000011EA">
            <w:pPr>
              <w:jc w:val="right"/>
              <w:rPr>
                <w:rFonts w:cs="Arial"/>
                <w:b/>
                <w:bCs/>
                <w:color w:val="C00000"/>
              </w:rPr>
            </w:pPr>
            <w:r w:rsidRPr="000011EA">
              <w:rPr>
                <w:rFonts w:cs="Arial"/>
                <w:sz w:val="22"/>
                <w:szCs w:val="22"/>
              </w:rPr>
              <w:t>-</w:t>
            </w:r>
            <w:r w:rsidR="00A02570">
              <w:rPr>
                <w:rFonts w:cs="Arial"/>
                <w:sz w:val="22"/>
                <w:szCs w:val="22"/>
              </w:rPr>
              <w:t>3,424</w:t>
            </w:r>
          </w:p>
        </w:tc>
        <w:tc>
          <w:tcPr>
            <w:tcW w:w="1128" w:type="dxa"/>
            <w:tcBorders>
              <w:top w:val="nil"/>
              <w:left w:val="nil"/>
              <w:bottom w:val="single" w:sz="4" w:space="0" w:color="auto"/>
              <w:right w:val="single" w:sz="4" w:space="0" w:color="auto"/>
            </w:tcBorders>
            <w:shd w:val="clear" w:color="auto" w:fill="auto"/>
            <w:vAlign w:val="bottom"/>
          </w:tcPr>
          <w:p w14:paraId="36B9C9F6" w14:textId="4AD3D6B6" w:rsidR="000011EA" w:rsidRPr="000011EA" w:rsidRDefault="000011EA" w:rsidP="000011EA">
            <w:pPr>
              <w:jc w:val="both"/>
              <w:rPr>
                <w:rFonts w:cs="Arial"/>
                <w:b/>
                <w:bCs/>
                <w:color w:val="C00000"/>
              </w:rPr>
            </w:pPr>
            <w:r w:rsidRPr="000011EA">
              <w:rPr>
                <w:rFonts w:cs="Arial"/>
                <w:sz w:val="22"/>
                <w:szCs w:val="22"/>
              </w:rPr>
              <w:t>3</w:t>
            </w:r>
            <w:r w:rsidR="00A02570">
              <w:rPr>
                <w:rFonts w:cs="Arial"/>
                <w:sz w:val="22"/>
                <w:szCs w:val="22"/>
              </w:rPr>
              <w:t>6</w:t>
            </w:r>
            <w:r w:rsidRPr="000011EA">
              <w:rPr>
                <w:rFonts w:cs="Arial"/>
                <w:sz w:val="22"/>
                <w:szCs w:val="22"/>
              </w:rPr>
              <w:t>%</w:t>
            </w:r>
          </w:p>
        </w:tc>
      </w:tr>
      <w:tr w:rsidR="000011EA" w14:paraId="1F61B1B6" w14:textId="77777777" w:rsidTr="000011EA">
        <w:tc>
          <w:tcPr>
            <w:tcW w:w="1127" w:type="dxa"/>
            <w:tcBorders>
              <w:top w:val="nil"/>
              <w:left w:val="single" w:sz="4" w:space="0" w:color="auto"/>
              <w:bottom w:val="single" w:sz="4" w:space="0" w:color="auto"/>
              <w:right w:val="single" w:sz="4" w:space="0" w:color="auto"/>
            </w:tcBorders>
            <w:shd w:val="clear" w:color="auto" w:fill="auto"/>
            <w:vAlign w:val="bottom"/>
          </w:tcPr>
          <w:p w14:paraId="7624A854" w14:textId="27E6095D" w:rsidR="000011EA" w:rsidRPr="000011EA" w:rsidRDefault="000011EA" w:rsidP="000011EA">
            <w:pPr>
              <w:jc w:val="both"/>
              <w:rPr>
                <w:rFonts w:cs="Arial"/>
                <w:b/>
                <w:bCs/>
                <w:color w:val="C00000"/>
              </w:rPr>
            </w:pPr>
            <w:r w:rsidRPr="000011EA">
              <w:rPr>
                <w:rFonts w:cs="Arial"/>
                <w:b/>
                <w:bCs/>
                <w:sz w:val="20"/>
              </w:rPr>
              <w:t>Total</w:t>
            </w:r>
          </w:p>
        </w:tc>
        <w:tc>
          <w:tcPr>
            <w:tcW w:w="1127" w:type="dxa"/>
            <w:tcBorders>
              <w:top w:val="nil"/>
              <w:left w:val="nil"/>
              <w:bottom w:val="single" w:sz="4" w:space="0" w:color="auto"/>
              <w:right w:val="single" w:sz="4" w:space="0" w:color="auto"/>
            </w:tcBorders>
            <w:shd w:val="clear" w:color="auto" w:fill="auto"/>
            <w:vAlign w:val="bottom"/>
          </w:tcPr>
          <w:p w14:paraId="775A8BE8" w14:textId="3F020B2E" w:rsidR="000011EA" w:rsidRPr="000011EA" w:rsidRDefault="000011EA" w:rsidP="000011EA">
            <w:pPr>
              <w:jc w:val="right"/>
              <w:rPr>
                <w:rFonts w:cs="Arial"/>
                <w:b/>
                <w:bCs/>
                <w:color w:val="C00000"/>
              </w:rPr>
            </w:pPr>
            <w:r w:rsidRPr="000011EA">
              <w:rPr>
                <w:rFonts w:cs="Arial"/>
                <w:b/>
                <w:bCs/>
                <w:sz w:val="22"/>
                <w:szCs w:val="22"/>
              </w:rPr>
              <w:t>-871</w:t>
            </w:r>
          </w:p>
        </w:tc>
        <w:tc>
          <w:tcPr>
            <w:tcW w:w="1127" w:type="dxa"/>
            <w:tcBorders>
              <w:top w:val="nil"/>
              <w:left w:val="nil"/>
              <w:bottom w:val="single" w:sz="4" w:space="0" w:color="auto"/>
              <w:right w:val="single" w:sz="4" w:space="0" w:color="auto"/>
            </w:tcBorders>
            <w:shd w:val="clear" w:color="auto" w:fill="auto"/>
            <w:vAlign w:val="bottom"/>
          </w:tcPr>
          <w:p w14:paraId="67B64AF9" w14:textId="4C73A7BF" w:rsidR="000011EA" w:rsidRPr="000011EA" w:rsidRDefault="000011EA" w:rsidP="000011EA">
            <w:pPr>
              <w:jc w:val="right"/>
              <w:rPr>
                <w:rFonts w:cs="Arial"/>
                <w:b/>
                <w:bCs/>
                <w:color w:val="C00000"/>
              </w:rPr>
            </w:pPr>
            <w:r w:rsidRPr="000011EA">
              <w:rPr>
                <w:rFonts w:cs="Arial"/>
                <w:b/>
                <w:bCs/>
                <w:sz w:val="22"/>
                <w:szCs w:val="22"/>
              </w:rPr>
              <w:t>-366</w:t>
            </w:r>
          </w:p>
        </w:tc>
        <w:tc>
          <w:tcPr>
            <w:tcW w:w="1127" w:type="dxa"/>
            <w:tcBorders>
              <w:top w:val="nil"/>
              <w:left w:val="nil"/>
              <w:bottom w:val="single" w:sz="4" w:space="0" w:color="auto"/>
              <w:right w:val="single" w:sz="4" w:space="0" w:color="auto"/>
            </w:tcBorders>
            <w:shd w:val="clear" w:color="auto" w:fill="auto"/>
            <w:vAlign w:val="bottom"/>
          </w:tcPr>
          <w:p w14:paraId="576730DC" w14:textId="0BF72188" w:rsidR="000011EA" w:rsidRPr="000011EA" w:rsidRDefault="000011EA" w:rsidP="000011EA">
            <w:pPr>
              <w:jc w:val="right"/>
              <w:rPr>
                <w:rFonts w:cs="Arial"/>
                <w:b/>
                <w:bCs/>
                <w:color w:val="C00000"/>
              </w:rPr>
            </w:pPr>
            <w:r w:rsidRPr="000011EA">
              <w:rPr>
                <w:rFonts w:cs="Arial"/>
                <w:b/>
                <w:bCs/>
                <w:sz w:val="22"/>
                <w:szCs w:val="22"/>
              </w:rPr>
              <w:t>-3,098</w:t>
            </w:r>
          </w:p>
        </w:tc>
        <w:tc>
          <w:tcPr>
            <w:tcW w:w="1127" w:type="dxa"/>
            <w:tcBorders>
              <w:top w:val="nil"/>
              <w:left w:val="nil"/>
              <w:bottom w:val="single" w:sz="4" w:space="0" w:color="auto"/>
              <w:right w:val="single" w:sz="4" w:space="0" w:color="auto"/>
            </w:tcBorders>
            <w:shd w:val="clear" w:color="auto" w:fill="auto"/>
            <w:vAlign w:val="bottom"/>
          </w:tcPr>
          <w:p w14:paraId="2CCA522C" w14:textId="22CE1B66" w:rsidR="000011EA" w:rsidRPr="000011EA" w:rsidRDefault="000011EA" w:rsidP="000011EA">
            <w:pPr>
              <w:jc w:val="right"/>
              <w:rPr>
                <w:rFonts w:cs="Arial"/>
                <w:b/>
                <w:bCs/>
                <w:color w:val="C00000"/>
              </w:rPr>
            </w:pPr>
            <w:r w:rsidRPr="000011EA">
              <w:rPr>
                <w:rFonts w:cs="Arial"/>
                <w:b/>
                <w:bCs/>
                <w:sz w:val="22"/>
                <w:szCs w:val="22"/>
              </w:rPr>
              <w:t>-4,515</w:t>
            </w:r>
          </w:p>
        </w:tc>
        <w:tc>
          <w:tcPr>
            <w:tcW w:w="1128" w:type="dxa"/>
            <w:tcBorders>
              <w:top w:val="nil"/>
              <w:left w:val="nil"/>
              <w:bottom w:val="single" w:sz="4" w:space="0" w:color="auto"/>
              <w:right w:val="single" w:sz="4" w:space="0" w:color="auto"/>
            </w:tcBorders>
            <w:shd w:val="clear" w:color="auto" w:fill="auto"/>
            <w:vAlign w:val="bottom"/>
          </w:tcPr>
          <w:p w14:paraId="68BF2B30" w14:textId="57FDEC59" w:rsidR="000011EA" w:rsidRPr="000011EA" w:rsidRDefault="000011EA" w:rsidP="000011EA">
            <w:pPr>
              <w:jc w:val="right"/>
              <w:rPr>
                <w:rFonts w:cs="Arial"/>
                <w:b/>
                <w:bCs/>
                <w:color w:val="C00000"/>
              </w:rPr>
            </w:pPr>
            <w:r w:rsidRPr="000011EA">
              <w:rPr>
                <w:rFonts w:cs="Arial"/>
                <w:b/>
                <w:bCs/>
                <w:sz w:val="22"/>
                <w:szCs w:val="22"/>
              </w:rPr>
              <w:t>-650</w:t>
            </w:r>
          </w:p>
        </w:tc>
        <w:tc>
          <w:tcPr>
            <w:tcW w:w="1128" w:type="dxa"/>
            <w:tcBorders>
              <w:top w:val="nil"/>
              <w:left w:val="nil"/>
              <w:bottom w:val="single" w:sz="4" w:space="0" w:color="auto"/>
              <w:right w:val="single" w:sz="4" w:space="0" w:color="auto"/>
            </w:tcBorders>
            <w:shd w:val="clear" w:color="auto" w:fill="auto"/>
            <w:vAlign w:val="bottom"/>
          </w:tcPr>
          <w:p w14:paraId="08E8BC0A" w14:textId="4360F96F" w:rsidR="000011EA" w:rsidRPr="000011EA" w:rsidRDefault="000011EA" w:rsidP="000011EA">
            <w:pPr>
              <w:jc w:val="right"/>
              <w:rPr>
                <w:rFonts w:cs="Arial"/>
                <w:b/>
                <w:bCs/>
                <w:color w:val="C00000"/>
              </w:rPr>
            </w:pPr>
            <w:r w:rsidRPr="000011EA">
              <w:rPr>
                <w:rFonts w:cs="Arial"/>
                <w:b/>
                <w:bCs/>
                <w:sz w:val="22"/>
                <w:szCs w:val="22"/>
              </w:rPr>
              <w:t>-9,500</w:t>
            </w:r>
          </w:p>
        </w:tc>
        <w:tc>
          <w:tcPr>
            <w:tcW w:w="1128" w:type="dxa"/>
            <w:tcBorders>
              <w:top w:val="nil"/>
              <w:left w:val="nil"/>
              <w:bottom w:val="single" w:sz="4" w:space="0" w:color="auto"/>
              <w:right w:val="single" w:sz="4" w:space="0" w:color="auto"/>
            </w:tcBorders>
            <w:shd w:val="clear" w:color="auto" w:fill="auto"/>
            <w:vAlign w:val="bottom"/>
          </w:tcPr>
          <w:p w14:paraId="638278D0" w14:textId="7A4DEEC3" w:rsidR="000011EA" w:rsidRPr="000011EA" w:rsidRDefault="000011EA" w:rsidP="000011EA">
            <w:pPr>
              <w:jc w:val="both"/>
              <w:rPr>
                <w:rFonts w:cs="Arial"/>
                <w:b/>
                <w:bCs/>
                <w:color w:val="C00000"/>
              </w:rPr>
            </w:pPr>
            <w:r w:rsidRPr="000011EA">
              <w:rPr>
                <w:rFonts w:cs="Arial"/>
                <w:b/>
                <w:bCs/>
                <w:sz w:val="22"/>
                <w:szCs w:val="22"/>
              </w:rPr>
              <w:t>100%</w:t>
            </w:r>
          </w:p>
        </w:tc>
      </w:tr>
    </w:tbl>
    <w:p w14:paraId="628DF3F4" w14:textId="77777777" w:rsidR="008C14A3" w:rsidRPr="008C14A3" w:rsidRDefault="008C14A3" w:rsidP="008C14A3">
      <w:pPr>
        <w:jc w:val="both"/>
        <w:rPr>
          <w:rFonts w:cs="Arial"/>
          <w:b/>
          <w:bCs/>
          <w:color w:val="C00000"/>
        </w:rPr>
      </w:pPr>
    </w:p>
    <w:p w14:paraId="441271FA" w14:textId="77777777" w:rsidR="000011EA" w:rsidRPr="001B7300" w:rsidRDefault="000011EA" w:rsidP="000011EA">
      <w:pPr>
        <w:jc w:val="both"/>
        <w:rPr>
          <w:rFonts w:cs="Arial"/>
          <w:b/>
          <w:bCs/>
          <w:color w:val="C00000"/>
        </w:rPr>
      </w:pPr>
    </w:p>
    <w:p w14:paraId="12AB5592" w14:textId="13437899" w:rsidR="000011EA" w:rsidRPr="003A08EA" w:rsidRDefault="00A02570" w:rsidP="000011EA">
      <w:pPr>
        <w:pStyle w:val="ListParagraph"/>
        <w:numPr>
          <w:ilvl w:val="0"/>
          <w:numId w:val="4"/>
        </w:numPr>
        <w:ind w:left="460" w:hanging="567"/>
        <w:jc w:val="both"/>
        <w:rPr>
          <w:rFonts w:cs="Arial"/>
          <w:b/>
          <w:bCs/>
        </w:rPr>
      </w:pPr>
      <w:r>
        <w:rPr>
          <w:rFonts w:cs="Arial"/>
        </w:rPr>
        <w:t>31</w:t>
      </w:r>
      <w:r w:rsidR="000011EA" w:rsidRPr="004620D4">
        <w:rPr>
          <w:rFonts w:cs="Arial"/>
        </w:rPr>
        <w:t xml:space="preserve">% of the savings are rated Red which means they will not be achieved either fully or only partially achieved in 2023-24. These assumptions are already included within the directorate forecasts </w:t>
      </w:r>
      <w:r w:rsidR="00333332">
        <w:rPr>
          <w:rFonts w:cs="Arial"/>
        </w:rPr>
        <w:t xml:space="preserve">as follows: </w:t>
      </w:r>
    </w:p>
    <w:p w14:paraId="408D707B" w14:textId="72222D72" w:rsidR="00DD6F38" w:rsidRDefault="00DD6F38" w:rsidP="00DD6F38">
      <w:pPr>
        <w:pStyle w:val="ListParagraph"/>
        <w:ind w:left="460"/>
        <w:jc w:val="both"/>
        <w:rPr>
          <w:rFonts w:cs="Arial"/>
          <w:b/>
          <w:bCs/>
        </w:rPr>
      </w:pPr>
    </w:p>
    <w:tbl>
      <w:tblPr>
        <w:tblStyle w:val="TableGrid"/>
        <w:tblW w:w="10348" w:type="dxa"/>
        <w:tblInd w:w="-572" w:type="dxa"/>
        <w:tblLook w:val="04A0" w:firstRow="1" w:lastRow="0" w:firstColumn="1" w:lastColumn="0" w:noHBand="0" w:noVBand="1"/>
      </w:tblPr>
      <w:tblGrid>
        <w:gridCol w:w="1560"/>
        <w:gridCol w:w="2268"/>
        <w:gridCol w:w="1701"/>
        <w:gridCol w:w="4819"/>
      </w:tblGrid>
      <w:tr w:rsidR="00AE08BD" w:rsidRPr="00AE08BD" w14:paraId="7BD29584" w14:textId="77777777" w:rsidTr="00CB24A9">
        <w:tc>
          <w:tcPr>
            <w:tcW w:w="1560" w:type="dxa"/>
          </w:tcPr>
          <w:p w14:paraId="2E32BD9D" w14:textId="2EE2E0E6" w:rsidR="00AE08BD" w:rsidRPr="00CB24A9" w:rsidRDefault="00AE08BD" w:rsidP="00DD6F38">
            <w:pPr>
              <w:pStyle w:val="ListParagraph"/>
              <w:ind w:left="0"/>
              <w:jc w:val="both"/>
              <w:rPr>
                <w:rFonts w:cs="Arial"/>
                <w:b/>
                <w:bCs/>
                <w:sz w:val="22"/>
                <w:szCs w:val="22"/>
              </w:rPr>
            </w:pPr>
            <w:r w:rsidRPr="00CB24A9">
              <w:rPr>
                <w:rFonts w:cs="Arial"/>
                <w:b/>
                <w:bCs/>
                <w:sz w:val="22"/>
                <w:szCs w:val="22"/>
              </w:rPr>
              <w:t>Directorate</w:t>
            </w:r>
          </w:p>
        </w:tc>
        <w:tc>
          <w:tcPr>
            <w:tcW w:w="2268" w:type="dxa"/>
          </w:tcPr>
          <w:p w14:paraId="6BA0EE73" w14:textId="4AC6439F" w:rsidR="00AE08BD" w:rsidRPr="00CB24A9" w:rsidRDefault="00AE08BD" w:rsidP="00AE08BD">
            <w:pPr>
              <w:pStyle w:val="ListParagraph"/>
              <w:ind w:left="0"/>
              <w:rPr>
                <w:rFonts w:cs="Arial"/>
                <w:b/>
                <w:bCs/>
                <w:sz w:val="22"/>
                <w:szCs w:val="22"/>
              </w:rPr>
            </w:pPr>
            <w:r w:rsidRPr="00CB24A9">
              <w:rPr>
                <w:rFonts w:cs="Arial"/>
                <w:b/>
                <w:bCs/>
                <w:sz w:val="22"/>
                <w:szCs w:val="22"/>
              </w:rPr>
              <w:t>Savings Proposal</w:t>
            </w:r>
          </w:p>
        </w:tc>
        <w:tc>
          <w:tcPr>
            <w:tcW w:w="1701" w:type="dxa"/>
          </w:tcPr>
          <w:p w14:paraId="17E89762" w14:textId="59394DA2" w:rsidR="00AE08BD" w:rsidRPr="00CB24A9" w:rsidRDefault="00AE08BD" w:rsidP="00DD6F38">
            <w:pPr>
              <w:pStyle w:val="ListParagraph"/>
              <w:ind w:left="0"/>
              <w:jc w:val="both"/>
              <w:rPr>
                <w:rFonts w:cs="Arial"/>
                <w:b/>
                <w:bCs/>
                <w:sz w:val="22"/>
                <w:szCs w:val="22"/>
              </w:rPr>
            </w:pPr>
            <w:r w:rsidRPr="00CB24A9">
              <w:rPr>
                <w:rFonts w:cs="Arial"/>
                <w:b/>
                <w:bCs/>
                <w:sz w:val="22"/>
                <w:szCs w:val="22"/>
              </w:rPr>
              <w:t>2023-24 £’000</w:t>
            </w:r>
          </w:p>
        </w:tc>
        <w:tc>
          <w:tcPr>
            <w:tcW w:w="4819" w:type="dxa"/>
          </w:tcPr>
          <w:p w14:paraId="2C8EC2C4" w14:textId="51B87C5E" w:rsidR="00AE08BD" w:rsidRPr="00CB24A9" w:rsidRDefault="00AE08BD" w:rsidP="00DD6F38">
            <w:pPr>
              <w:pStyle w:val="ListParagraph"/>
              <w:ind w:left="0"/>
              <w:jc w:val="both"/>
              <w:rPr>
                <w:rFonts w:cs="Arial"/>
                <w:b/>
                <w:bCs/>
                <w:sz w:val="22"/>
                <w:szCs w:val="22"/>
              </w:rPr>
            </w:pPr>
            <w:r w:rsidRPr="00CB24A9">
              <w:rPr>
                <w:rFonts w:cs="Arial"/>
                <w:b/>
                <w:bCs/>
                <w:sz w:val="22"/>
                <w:szCs w:val="22"/>
              </w:rPr>
              <w:t>Comments</w:t>
            </w:r>
          </w:p>
        </w:tc>
      </w:tr>
      <w:tr w:rsidR="00AE08BD" w:rsidRPr="00AE08BD" w14:paraId="2554DC34" w14:textId="77777777" w:rsidTr="00CB24A9">
        <w:tc>
          <w:tcPr>
            <w:tcW w:w="1560" w:type="dxa"/>
          </w:tcPr>
          <w:p w14:paraId="3C07CF67" w14:textId="5A2524F2" w:rsidR="00AE08BD" w:rsidRPr="00AE08BD" w:rsidRDefault="00AE08BD" w:rsidP="00F01B6B">
            <w:pPr>
              <w:pStyle w:val="ListParagraph"/>
              <w:ind w:left="0"/>
              <w:jc w:val="both"/>
              <w:rPr>
                <w:rFonts w:cs="Arial"/>
                <w:sz w:val="22"/>
                <w:szCs w:val="22"/>
              </w:rPr>
            </w:pPr>
            <w:r w:rsidRPr="00AE08BD">
              <w:rPr>
                <w:rFonts w:cs="Arial"/>
                <w:sz w:val="22"/>
                <w:szCs w:val="22"/>
              </w:rPr>
              <w:t>Adults</w:t>
            </w:r>
          </w:p>
        </w:tc>
        <w:tc>
          <w:tcPr>
            <w:tcW w:w="2268" w:type="dxa"/>
          </w:tcPr>
          <w:p w14:paraId="12AC6987" w14:textId="5D2470BA" w:rsidR="00AE08BD" w:rsidRPr="00AE08BD" w:rsidRDefault="00AE08BD" w:rsidP="00AE08BD">
            <w:pPr>
              <w:pStyle w:val="ListParagraph"/>
              <w:ind w:left="0"/>
              <w:rPr>
                <w:rFonts w:cs="Arial"/>
                <w:sz w:val="22"/>
                <w:szCs w:val="22"/>
              </w:rPr>
            </w:pPr>
            <w:r w:rsidRPr="00AE08BD">
              <w:rPr>
                <w:rFonts w:cs="Arial"/>
                <w:sz w:val="22"/>
                <w:szCs w:val="22"/>
              </w:rPr>
              <w:t>Inhouse Residential</w:t>
            </w:r>
          </w:p>
        </w:tc>
        <w:tc>
          <w:tcPr>
            <w:tcW w:w="1701" w:type="dxa"/>
          </w:tcPr>
          <w:p w14:paraId="7B5921FA" w14:textId="4BF508EA" w:rsidR="00AE08BD" w:rsidRPr="00AE08BD" w:rsidRDefault="00AE08BD" w:rsidP="00CB24A9">
            <w:pPr>
              <w:pStyle w:val="ListParagraph"/>
              <w:ind w:left="0"/>
              <w:jc w:val="right"/>
              <w:rPr>
                <w:rFonts w:cs="Arial"/>
                <w:sz w:val="22"/>
                <w:szCs w:val="22"/>
              </w:rPr>
            </w:pPr>
            <w:r>
              <w:rPr>
                <w:rFonts w:cs="Arial"/>
                <w:sz w:val="22"/>
                <w:szCs w:val="22"/>
              </w:rPr>
              <w:t>-100</w:t>
            </w:r>
          </w:p>
        </w:tc>
        <w:tc>
          <w:tcPr>
            <w:tcW w:w="4819" w:type="dxa"/>
          </w:tcPr>
          <w:p w14:paraId="3E7EE646" w14:textId="216490FA" w:rsidR="00AE08BD" w:rsidRPr="00AE08BD" w:rsidRDefault="00AE08BD" w:rsidP="00F01B6B">
            <w:pPr>
              <w:pStyle w:val="ListParagraph"/>
              <w:ind w:left="0"/>
              <w:jc w:val="both"/>
              <w:rPr>
                <w:rFonts w:cs="Arial"/>
                <w:sz w:val="22"/>
                <w:szCs w:val="22"/>
              </w:rPr>
            </w:pPr>
            <w:r>
              <w:rPr>
                <w:rFonts w:cs="Arial"/>
                <w:sz w:val="22"/>
                <w:szCs w:val="22"/>
              </w:rPr>
              <w:t>Work in progress but P3 forecast assumes saving will be not be delivered in 2023-24</w:t>
            </w:r>
          </w:p>
        </w:tc>
      </w:tr>
      <w:tr w:rsidR="00AE08BD" w:rsidRPr="00AE08BD" w14:paraId="376FA94C" w14:textId="77777777" w:rsidTr="00CB24A9">
        <w:tc>
          <w:tcPr>
            <w:tcW w:w="1560" w:type="dxa"/>
          </w:tcPr>
          <w:p w14:paraId="43908963" w14:textId="5E072D42" w:rsidR="00AE08BD" w:rsidRPr="00AE08BD" w:rsidRDefault="00AE08BD" w:rsidP="00F01B6B">
            <w:pPr>
              <w:pStyle w:val="ListParagraph"/>
              <w:ind w:left="0"/>
              <w:jc w:val="both"/>
              <w:rPr>
                <w:rFonts w:cs="Arial"/>
                <w:sz w:val="22"/>
                <w:szCs w:val="22"/>
              </w:rPr>
            </w:pPr>
            <w:r w:rsidRPr="00AE08BD">
              <w:rPr>
                <w:rFonts w:cs="Arial"/>
                <w:sz w:val="22"/>
                <w:szCs w:val="22"/>
              </w:rPr>
              <w:t>Adults</w:t>
            </w:r>
          </w:p>
        </w:tc>
        <w:tc>
          <w:tcPr>
            <w:tcW w:w="2268" w:type="dxa"/>
          </w:tcPr>
          <w:p w14:paraId="1AF37448" w14:textId="1A104974" w:rsidR="00AE08BD" w:rsidRPr="00AE08BD" w:rsidRDefault="00AE08BD" w:rsidP="00AE08BD">
            <w:pPr>
              <w:pStyle w:val="ListParagraph"/>
              <w:ind w:left="0"/>
              <w:rPr>
                <w:rFonts w:cs="Arial"/>
                <w:sz w:val="22"/>
                <w:szCs w:val="22"/>
              </w:rPr>
            </w:pPr>
            <w:r w:rsidRPr="00AE08BD">
              <w:rPr>
                <w:rFonts w:cs="Arial"/>
                <w:sz w:val="22"/>
                <w:szCs w:val="22"/>
              </w:rPr>
              <w:t>Review of Occupational Therapy</w:t>
            </w:r>
          </w:p>
        </w:tc>
        <w:tc>
          <w:tcPr>
            <w:tcW w:w="1701" w:type="dxa"/>
          </w:tcPr>
          <w:p w14:paraId="08C0B56B" w14:textId="51E87CA7" w:rsidR="00AE08BD" w:rsidRPr="00AE08BD" w:rsidRDefault="00AE08BD" w:rsidP="00CB24A9">
            <w:pPr>
              <w:pStyle w:val="ListParagraph"/>
              <w:ind w:left="0"/>
              <w:jc w:val="right"/>
              <w:rPr>
                <w:rFonts w:cs="Arial"/>
                <w:sz w:val="22"/>
                <w:szCs w:val="22"/>
              </w:rPr>
            </w:pPr>
            <w:r>
              <w:rPr>
                <w:rFonts w:cs="Arial"/>
                <w:sz w:val="22"/>
                <w:szCs w:val="22"/>
              </w:rPr>
              <w:t>-60</w:t>
            </w:r>
          </w:p>
        </w:tc>
        <w:tc>
          <w:tcPr>
            <w:tcW w:w="4819" w:type="dxa"/>
          </w:tcPr>
          <w:p w14:paraId="66E34234" w14:textId="121744C2" w:rsidR="00AE08BD" w:rsidRPr="00AE08BD" w:rsidRDefault="00AE08BD" w:rsidP="00F01B6B">
            <w:pPr>
              <w:pStyle w:val="ListParagraph"/>
              <w:ind w:left="0"/>
              <w:jc w:val="both"/>
              <w:rPr>
                <w:rFonts w:cs="Arial"/>
                <w:sz w:val="22"/>
                <w:szCs w:val="22"/>
              </w:rPr>
            </w:pPr>
            <w:r>
              <w:rPr>
                <w:rFonts w:cs="Arial"/>
                <w:sz w:val="22"/>
                <w:szCs w:val="22"/>
              </w:rPr>
              <w:t>Work in progress and P3 forecast assumes saving will</w:t>
            </w:r>
            <w:r w:rsidR="007C5856">
              <w:rPr>
                <w:rFonts w:cs="Arial"/>
                <w:sz w:val="22"/>
                <w:szCs w:val="22"/>
              </w:rPr>
              <w:t xml:space="preserve"> not</w:t>
            </w:r>
            <w:r>
              <w:rPr>
                <w:rFonts w:cs="Arial"/>
                <w:sz w:val="22"/>
                <w:szCs w:val="22"/>
              </w:rPr>
              <w:t xml:space="preserve"> be delivered in 2023-24</w:t>
            </w:r>
          </w:p>
        </w:tc>
      </w:tr>
      <w:tr w:rsidR="00AE08BD" w:rsidRPr="00AE08BD" w14:paraId="0C464E4A" w14:textId="77777777" w:rsidTr="00CB24A9">
        <w:tc>
          <w:tcPr>
            <w:tcW w:w="1560" w:type="dxa"/>
          </w:tcPr>
          <w:p w14:paraId="51BE8B5F" w14:textId="6CE0CCEE" w:rsidR="00AE08BD" w:rsidRPr="00AE08BD" w:rsidRDefault="00AE08BD" w:rsidP="00DD6F38">
            <w:pPr>
              <w:pStyle w:val="ListParagraph"/>
              <w:ind w:left="0"/>
              <w:jc w:val="both"/>
              <w:rPr>
                <w:rFonts w:cs="Arial"/>
                <w:sz w:val="22"/>
                <w:szCs w:val="22"/>
              </w:rPr>
            </w:pPr>
            <w:r w:rsidRPr="00AE08BD">
              <w:rPr>
                <w:rFonts w:cs="Arial"/>
                <w:sz w:val="22"/>
                <w:szCs w:val="22"/>
              </w:rPr>
              <w:t>Children’s</w:t>
            </w:r>
          </w:p>
        </w:tc>
        <w:tc>
          <w:tcPr>
            <w:tcW w:w="2268" w:type="dxa"/>
          </w:tcPr>
          <w:p w14:paraId="15F58F49" w14:textId="535997E5" w:rsidR="00AE08BD" w:rsidRPr="00AE08BD" w:rsidRDefault="00AE08BD" w:rsidP="00AE08BD">
            <w:pPr>
              <w:pStyle w:val="ListParagraph"/>
              <w:ind w:left="0"/>
              <w:rPr>
                <w:rFonts w:cs="Arial"/>
                <w:sz w:val="22"/>
                <w:szCs w:val="22"/>
              </w:rPr>
            </w:pPr>
            <w:r w:rsidRPr="00AE08BD">
              <w:rPr>
                <w:rFonts w:cs="Arial"/>
                <w:sz w:val="22"/>
                <w:szCs w:val="22"/>
              </w:rPr>
              <w:t>SEN Transport</w:t>
            </w:r>
          </w:p>
        </w:tc>
        <w:tc>
          <w:tcPr>
            <w:tcW w:w="1701" w:type="dxa"/>
          </w:tcPr>
          <w:p w14:paraId="088699D9" w14:textId="6DFAC483" w:rsidR="00AE08BD" w:rsidRPr="00AE08BD" w:rsidRDefault="00AE08BD" w:rsidP="00CB24A9">
            <w:pPr>
              <w:pStyle w:val="ListParagraph"/>
              <w:ind w:left="0"/>
              <w:jc w:val="right"/>
              <w:rPr>
                <w:rFonts w:cs="Arial"/>
                <w:sz w:val="22"/>
                <w:szCs w:val="22"/>
              </w:rPr>
            </w:pPr>
            <w:r>
              <w:rPr>
                <w:rFonts w:cs="Arial"/>
                <w:sz w:val="22"/>
                <w:szCs w:val="22"/>
              </w:rPr>
              <w:t>-130</w:t>
            </w:r>
          </w:p>
        </w:tc>
        <w:tc>
          <w:tcPr>
            <w:tcW w:w="4819" w:type="dxa"/>
          </w:tcPr>
          <w:p w14:paraId="66B015EF" w14:textId="4BB8046E" w:rsidR="00AE08BD" w:rsidRPr="00AE08BD" w:rsidRDefault="00AE08BD" w:rsidP="00DD6F38">
            <w:pPr>
              <w:pStyle w:val="ListParagraph"/>
              <w:ind w:left="0"/>
              <w:jc w:val="both"/>
              <w:rPr>
                <w:rFonts w:cs="Arial"/>
                <w:sz w:val="22"/>
                <w:szCs w:val="22"/>
              </w:rPr>
            </w:pPr>
            <w:r>
              <w:rPr>
                <w:rFonts w:cs="Arial"/>
                <w:sz w:val="22"/>
                <w:szCs w:val="22"/>
              </w:rPr>
              <w:t>Will not be achieved in 2023-24 due to delay in recruitment and mitigated through other unders</w:t>
            </w:r>
            <w:r w:rsidR="007C5856">
              <w:rPr>
                <w:rFonts w:cs="Arial"/>
                <w:sz w:val="22"/>
                <w:szCs w:val="22"/>
              </w:rPr>
              <w:t>p</w:t>
            </w:r>
            <w:r>
              <w:rPr>
                <w:rFonts w:cs="Arial"/>
                <w:sz w:val="22"/>
                <w:szCs w:val="22"/>
              </w:rPr>
              <w:t>ends. To be achieved in full 2024-25</w:t>
            </w:r>
          </w:p>
        </w:tc>
      </w:tr>
      <w:tr w:rsidR="00AE08BD" w:rsidRPr="00AE08BD" w14:paraId="4C223C43" w14:textId="77777777" w:rsidTr="00CB24A9">
        <w:tc>
          <w:tcPr>
            <w:tcW w:w="1560" w:type="dxa"/>
          </w:tcPr>
          <w:p w14:paraId="003625E8" w14:textId="02AB9D74" w:rsidR="00AE08BD" w:rsidRPr="00AE08BD" w:rsidRDefault="00AE08BD" w:rsidP="00DD6F38">
            <w:pPr>
              <w:pStyle w:val="ListParagraph"/>
              <w:ind w:left="0"/>
              <w:jc w:val="both"/>
              <w:rPr>
                <w:rFonts w:cs="Arial"/>
                <w:sz w:val="22"/>
                <w:szCs w:val="22"/>
              </w:rPr>
            </w:pPr>
            <w:r w:rsidRPr="00AE08BD">
              <w:rPr>
                <w:rFonts w:cs="Arial"/>
                <w:sz w:val="22"/>
                <w:szCs w:val="22"/>
              </w:rPr>
              <w:t>Place</w:t>
            </w:r>
          </w:p>
        </w:tc>
        <w:tc>
          <w:tcPr>
            <w:tcW w:w="2268" w:type="dxa"/>
          </w:tcPr>
          <w:p w14:paraId="3858F186" w14:textId="564498A0" w:rsidR="00AE08BD" w:rsidRPr="00AE08BD" w:rsidRDefault="00AE08BD" w:rsidP="00AE08BD">
            <w:pPr>
              <w:pStyle w:val="ListParagraph"/>
              <w:ind w:left="0"/>
              <w:rPr>
                <w:rFonts w:cs="Arial"/>
                <w:sz w:val="22"/>
                <w:szCs w:val="22"/>
              </w:rPr>
            </w:pPr>
            <w:r w:rsidRPr="00AE08BD">
              <w:rPr>
                <w:rFonts w:cs="Arial"/>
                <w:sz w:val="22"/>
                <w:szCs w:val="22"/>
              </w:rPr>
              <w:t>Parking Review</w:t>
            </w:r>
          </w:p>
        </w:tc>
        <w:tc>
          <w:tcPr>
            <w:tcW w:w="1701" w:type="dxa"/>
          </w:tcPr>
          <w:p w14:paraId="47367D05" w14:textId="7B063F2D" w:rsidR="00AE08BD" w:rsidRPr="00AE08BD" w:rsidRDefault="00AE08BD" w:rsidP="00CB24A9">
            <w:pPr>
              <w:pStyle w:val="ListParagraph"/>
              <w:ind w:left="0"/>
              <w:jc w:val="right"/>
              <w:rPr>
                <w:rFonts w:cs="Arial"/>
                <w:sz w:val="22"/>
                <w:szCs w:val="22"/>
              </w:rPr>
            </w:pPr>
            <w:r>
              <w:rPr>
                <w:rFonts w:cs="Arial"/>
                <w:sz w:val="22"/>
                <w:szCs w:val="22"/>
              </w:rPr>
              <w:t>-2,500</w:t>
            </w:r>
          </w:p>
        </w:tc>
        <w:tc>
          <w:tcPr>
            <w:tcW w:w="4819" w:type="dxa"/>
          </w:tcPr>
          <w:p w14:paraId="59AFE648" w14:textId="6B724E2B" w:rsidR="00AE08BD" w:rsidRPr="00AE08BD" w:rsidRDefault="00AE08BD" w:rsidP="00DD6F38">
            <w:pPr>
              <w:pStyle w:val="ListParagraph"/>
              <w:ind w:left="0"/>
              <w:jc w:val="both"/>
              <w:rPr>
                <w:rFonts w:cs="Arial"/>
                <w:sz w:val="22"/>
                <w:szCs w:val="22"/>
              </w:rPr>
            </w:pPr>
            <w:r>
              <w:rPr>
                <w:rFonts w:cs="Arial"/>
                <w:sz w:val="22"/>
                <w:szCs w:val="22"/>
              </w:rPr>
              <w:t>Partially achieved in 2023-24</w:t>
            </w:r>
            <w:r w:rsidR="00A142E4">
              <w:rPr>
                <w:rFonts w:cs="Arial"/>
                <w:sz w:val="22"/>
                <w:szCs w:val="22"/>
              </w:rPr>
              <w:t xml:space="preserve"> and is part of directorate overspend. Unlikely to be achieved in full in future.</w:t>
            </w:r>
          </w:p>
        </w:tc>
      </w:tr>
      <w:tr w:rsidR="00AE08BD" w:rsidRPr="00AE08BD" w14:paraId="6F5EEF4E" w14:textId="77777777" w:rsidTr="00CB24A9">
        <w:tc>
          <w:tcPr>
            <w:tcW w:w="1560" w:type="dxa"/>
          </w:tcPr>
          <w:p w14:paraId="586EA397" w14:textId="00F6234F" w:rsidR="00AE08BD" w:rsidRPr="00AE08BD" w:rsidRDefault="00AE08BD" w:rsidP="00DD6F38">
            <w:pPr>
              <w:pStyle w:val="ListParagraph"/>
              <w:ind w:left="0"/>
              <w:jc w:val="both"/>
              <w:rPr>
                <w:rFonts w:cs="Arial"/>
                <w:sz w:val="22"/>
                <w:szCs w:val="22"/>
              </w:rPr>
            </w:pPr>
            <w:r w:rsidRPr="00AE08BD">
              <w:rPr>
                <w:rFonts w:cs="Arial"/>
                <w:sz w:val="22"/>
                <w:szCs w:val="22"/>
              </w:rPr>
              <w:t>Place</w:t>
            </w:r>
          </w:p>
        </w:tc>
        <w:tc>
          <w:tcPr>
            <w:tcW w:w="2268" w:type="dxa"/>
          </w:tcPr>
          <w:p w14:paraId="2786BC1D" w14:textId="7CA850FB" w:rsidR="00AE08BD" w:rsidRPr="00AE08BD" w:rsidRDefault="00AE08BD" w:rsidP="00AE08BD">
            <w:pPr>
              <w:pStyle w:val="ListParagraph"/>
              <w:ind w:left="0"/>
              <w:rPr>
                <w:rFonts w:cs="Arial"/>
                <w:sz w:val="22"/>
                <w:szCs w:val="22"/>
              </w:rPr>
            </w:pPr>
            <w:r w:rsidRPr="00AE08BD">
              <w:rPr>
                <w:rFonts w:cs="Arial"/>
                <w:sz w:val="22"/>
                <w:szCs w:val="22"/>
              </w:rPr>
              <w:t>Building Control Fees &amp; Charges</w:t>
            </w:r>
          </w:p>
        </w:tc>
        <w:tc>
          <w:tcPr>
            <w:tcW w:w="1701" w:type="dxa"/>
          </w:tcPr>
          <w:p w14:paraId="76EB595B" w14:textId="7E24C903" w:rsidR="00AE08BD" w:rsidRPr="00AE08BD" w:rsidRDefault="00AE08BD" w:rsidP="00CB24A9">
            <w:pPr>
              <w:pStyle w:val="ListParagraph"/>
              <w:ind w:left="0"/>
              <w:jc w:val="right"/>
              <w:rPr>
                <w:rFonts w:cs="Arial"/>
                <w:sz w:val="22"/>
                <w:szCs w:val="22"/>
              </w:rPr>
            </w:pPr>
            <w:r>
              <w:rPr>
                <w:rFonts w:cs="Arial"/>
                <w:sz w:val="22"/>
                <w:szCs w:val="22"/>
              </w:rPr>
              <w:t>-68</w:t>
            </w:r>
          </w:p>
        </w:tc>
        <w:tc>
          <w:tcPr>
            <w:tcW w:w="4819" w:type="dxa"/>
          </w:tcPr>
          <w:p w14:paraId="6EC75042" w14:textId="2B4E233F" w:rsidR="00AE08BD" w:rsidRPr="00AE08BD" w:rsidRDefault="00A142E4" w:rsidP="00DD6F38">
            <w:pPr>
              <w:pStyle w:val="ListParagraph"/>
              <w:ind w:left="0"/>
              <w:jc w:val="both"/>
              <w:rPr>
                <w:rFonts w:cs="Arial"/>
                <w:sz w:val="22"/>
                <w:szCs w:val="22"/>
              </w:rPr>
            </w:pPr>
            <w:r>
              <w:rPr>
                <w:rFonts w:cs="Arial"/>
                <w:sz w:val="22"/>
                <w:szCs w:val="22"/>
              </w:rPr>
              <w:t xml:space="preserve">Not achieved in 2023-24 and is part of directorate overspend. Unlikely to be achieved in full in future. </w:t>
            </w:r>
          </w:p>
        </w:tc>
      </w:tr>
      <w:tr w:rsidR="00AE08BD" w:rsidRPr="00AE08BD" w14:paraId="6A19A7CF" w14:textId="77777777" w:rsidTr="00CB24A9">
        <w:tc>
          <w:tcPr>
            <w:tcW w:w="1560" w:type="dxa"/>
          </w:tcPr>
          <w:p w14:paraId="280F82F1" w14:textId="52D59ECA" w:rsidR="00AE08BD" w:rsidRPr="00AE08BD" w:rsidRDefault="00AE08BD" w:rsidP="00DD6F38">
            <w:pPr>
              <w:pStyle w:val="ListParagraph"/>
              <w:ind w:left="0"/>
              <w:jc w:val="both"/>
              <w:rPr>
                <w:rFonts w:cs="Arial"/>
                <w:sz w:val="22"/>
                <w:szCs w:val="22"/>
              </w:rPr>
            </w:pPr>
            <w:r w:rsidRPr="00AE08BD">
              <w:rPr>
                <w:rFonts w:cs="Arial"/>
                <w:sz w:val="22"/>
                <w:szCs w:val="22"/>
              </w:rPr>
              <w:t>Place</w:t>
            </w:r>
          </w:p>
        </w:tc>
        <w:tc>
          <w:tcPr>
            <w:tcW w:w="2268" w:type="dxa"/>
          </w:tcPr>
          <w:p w14:paraId="761F17E9" w14:textId="1A616EEE" w:rsidR="00AE08BD" w:rsidRPr="00AE08BD" w:rsidRDefault="00AE08BD" w:rsidP="00AE08BD">
            <w:pPr>
              <w:pStyle w:val="ListParagraph"/>
              <w:ind w:left="0"/>
              <w:rPr>
                <w:rFonts w:cs="Arial"/>
                <w:sz w:val="22"/>
                <w:szCs w:val="22"/>
              </w:rPr>
            </w:pPr>
            <w:r w:rsidRPr="00AE08BD">
              <w:rPr>
                <w:rFonts w:cs="Arial"/>
                <w:sz w:val="22"/>
                <w:szCs w:val="22"/>
              </w:rPr>
              <w:t>Development Management Fees &amp; Charges</w:t>
            </w:r>
          </w:p>
        </w:tc>
        <w:tc>
          <w:tcPr>
            <w:tcW w:w="1701" w:type="dxa"/>
          </w:tcPr>
          <w:p w14:paraId="21E546F9" w14:textId="01ABC56F" w:rsidR="00AE08BD" w:rsidRPr="00AE08BD" w:rsidRDefault="00AE08BD" w:rsidP="00CB24A9">
            <w:pPr>
              <w:pStyle w:val="ListParagraph"/>
              <w:ind w:left="0"/>
              <w:jc w:val="right"/>
              <w:rPr>
                <w:rFonts w:cs="Arial"/>
                <w:sz w:val="22"/>
                <w:szCs w:val="22"/>
              </w:rPr>
            </w:pPr>
            <w:r>
              <w:rPr>
                <w:rFonts w:cs="Arial"/>
                <w:sz w:val="22"/>
                <w:szCs w:val="22"/>
              </w:rPr>
              <w:t>-48</w:t>
            </w:r>
          </w:p>
        </w:tc>
        <w:tc>
          <w:tcPr>
            <w:tcW w:w="4819" w:type="dxa"/>
          </w:tcPr>
          <w:p w14:paraId="07768D5C" w14:textId="20EEAE18" w:rsidR="00AE08BD" w:rsidRPr="00AE08BD" w:rsidRDefault="00A142E4" w:rsidP="00DD6F38">
            <w:pPr>
              <w:pStyle w:val="ListParagraph"/>
              <w:ind w:left="0"/>
              <w:jc w:val="both"/>
              <w:rPr>
                <w:rFonts w:cs="Arial"/>
                <w:sz w:val="22"/>
                <w:szCs w:val="22"/>
              </w:rPr>
            </w:pPr>
            <w:r>
              <w:rPr>
                <w:rFonts w:cs="Arial"/>
                <w:sz w:val="22"/>
                <w:szCs w:val="22"/>
              </w:rPr>
              <w:t>Not achieved in 2023-24 and is part of directorate overspend. Unlikely to be achieved in full in future.</w:t>
            </w:r>
          </w:p>
        </w:tc>
      </w:tr>
      <w:tr w:rsidR="00AE08BD" w:rsidRPr="00AE08BD" w14:paraId="3ADB7E03" w14:textId="77777777" w:rsidTr="00CB24A9">
        <w:tc>
          <w:tcPr>
            <w:tcW w:w="1560" w:type="dxa"/>
          </w:tcPr>
          <w:p w14:paraId="377A3EBC" w14:textId="6366E121" w:rsidR="00AE08BD" w:rsidRPr="00CB24A9" w:rsidRDefault="00AE08BD" w:rsidP="00DD6F38">
            <w:pPr>
              <w:pStyle w:val="ListParagraph"/>
              <w:ind w:left="0"/>
              <w:jc w:val="both"/>
              <w:rPr>
                <w:rFonts w:cs="Arial"/>
                <w:b/>
                <w:bCs/>
                <w:sz w:val="22"/>
                <w:szCs w:val="22"/>
              </w:rPr>
            </w:pPr>
            <w:r w:rsidRPr="00CB24A9">
              <w:rPr>
                <w:rFonts w:cs="Arial"/>
                <w:b/>
                <w:bCs/>
                <w:sz w:val="22"/>
                <w:szCs w:val="22"/>
              </w:rPr>
              <w:t>Total</w:t>
            </w:r>
          </w:p>
        </w:tc>
        <w:tc>
          <w:tcPr>
            <w:tcW w:w="2268" w:type="dxa"/>
          </w:tcPr>
          <w:p w14:paraId="67C577FA" w14:textId="77777777" w:rsidR="00AE08BD" w:rsidRPr="00CB24A9" w:rsidRDefault="00AE08BD" w:rsidP="00AE08BD">
            <w:pPr>
              <w:pStyle w:val="ListParagraph"/>
              <w:ind w:left="0"/>
              <w:rPr>
                <w:rFonts w:cs="Arial"/>
                <w:b/>
                <w:bCs/>
                <w:sz w:val="22"/>
                <w:szCs w:val="22"/>
              </w:rPr>
            </w:pPr>
          </w:p>
        </w:tc>
        <w:tc>
          <w:tcPr>
            <w:tcW w:w="1701" w:type="dxa"/>
          </w:tcPr>
          <w:p w14:paraId="1D98AF2E" w14:textId="43DC0FD2" w:rsidR="00AE08BD" w:rsidRPr="00CB24A9" w:rsidRDefault="00AE08BD" w:rsidP="00CB24A9">
            <w:pPr>
              <w:pStyle w:val="ListParagraph"/>
              <w:ind w:left="0"/>
              <w:jc w:val="right"/>
              <w:rPr>
                <w:rFonts w:cs="Arial"/>
                <w:b/>
                <w:bCs/>
                <w:sz w:val="22"/>
                <w:szCs w:val="22"/>
              </w:rPr>
            </w:pPr>
            <w:r w:rsidRPr="00CB24A9">
              <w:rPr>
                <w:rFonts w:cs="Arial"/>
                <w:b/>
                <w:bCs/>
                <w:sz w:val="22"/>
                <w:szCs w:val="22"/>
              </w:rPr>
              <w:t>-</w:t>
            </w:r>
            <w:r w:rsidR="00A02570">
              <w:rPr>
                <w:rFonts w:cs="Arial"/>
                <w:b/>
                <w:bCs/>
                <w:sz w:val="22"/>
                <w:szCs w:val="22"/>
              </w:rPr>
              <w:t>2,906</w:t>
            </w:r>
          </w:p>
        </w:tc>
        <w:tc>
          <w:tcPr>
            <w:tcW w:w="4819" w:type="dxa"/>
          </w:tcPr>
          <w:p w14:paraId="602D09BD" w14:textId="77777777" w:rsidR="00AE08BD" w:rsidRPr="00CB24A9" w:rsidRDefault="00AE08BD" w:rsidP="00DD6F38">
            <w:pPr>
              <w:pStyle w:val="ListParagraph"/>
              <w:ind w:left="0"/>
              <w:jc w:val="both"/>
              <w:rPr>
                <w:rFonts w:cs="Arial"/>
                <w:b/>
                <w:bCs/>
                <w:sz w:val="22"/>
                <w:szCs w:val="22"/>
              </w:rPr>
            </w:pPr>
          </w:p>
        </w:tc>
      </w:tr>
    </w:tbl>
    <w:p w14:paraId="0090D960" w14:textId="4FEFF7CA" w:rsidR="00A02570" w:rsidRDefault="00A02570" w:rsidP="00A02570">
      <w:pPr>
        <w:pStyle w:val="ListParagraph"/>
        <w:tabs>
          <w:tab w:val="left" w:pos="567"/>
        </w:tabs>
        <w:ind w:left="567"/>
        <w:jc w:val="both"/>
        <w:rPr>
          <w:rFonts w:cs="Arial"/>
          <w:b/>
          <w:szCs w:val="24"/>
          <w:u w:val="single"/>
        </w:rPr>
      </w:pPr>
    </w:p>
    <w:p w14:paraId="4401D7E6" w14:textId="15C47DDB" w:rsidR="00A02570" w:rsidRDefault="00A02570" w:rsidP="00A02570">
      <w:pPr>
        <w:pStyle w:val="ListParagraph"/>
        <w:tabs>
          <w:tab w:val="left" w:pos="567"/>
        </w:tabs>
        <w:ind w:left="567"/>
        <w:jc w:val="both"/>
        <w:rPr>
          <w:rFonts w:cs="Arial"/>
          <w:b/>
          <w:szCs w:val="24"/>
          <w:u w:val="single"/>
        </w:rPr>
      </w:pPr>
    </w:p>
    <w:p w14:paraId="2E1CF23B" w14:textId="77777777" w:rsidR="00A02570" w:rsidRDefault="00A02570" w:rsidP="00A02570">
      <w:pPr>
        <w:pStyle w:val="ListParagraph"/>
        <w:tabs>
          <w:tab w:val="left" w:pos="567"/>
        </w:tabs>
        <w:ind w:left="567"/>
        <w:jc w:val="both"/>
        <w:rPr>
          <w:rFonts w:cs="Arial"/>
          <w:b/>
          <w:szCs w:val="24"/>
          <w:u w:val="single"/>
        </w:rPr>
      </w:pPr>
    </w:p>
    <w:p w14:paraId="6B97CDED" w14:textId="6C57D4F0" w:rsidR="00A556C0" w:rsidRPr="00111C32" w:rsidRDefault="00C57DF6" w:rsidP="00AF06B3">
      <w:pPr>
        <w:pStyle w:val="ListParagraph"/>
        <w:numPr>
          <w:ilvl w:val="0"/>
          <w:numId w:val="2"/>
        </w:numPr>
        <w:tabs>
          <w:tab w:val="left" w:pos="567"/>
        </w:tabs>
        <w:ind w:left="567" w:hanging="567"/>
        <w:jc w:val="both"/>
        <w:rPr>
          <w:rFonts w:cs="Arial"/>
          <w:b/>
          <w:szCs w:val="24"/>
          <w:u w:val="single"/>
        </w:rPr>
      </w:pPr>
      <w:r w:rsidRPr="00111C32">
        <w:rPr>
          <w:rFonts w:cs="Arial"/>
          <w:b/>
          <w:szCs w:val="24"/>
          <w:u w:val="single"/>
        </w:rPr>
        <w:t>C</w:t>
      </w:r>
      <w:r w:rsidR="00603BA2" w:rsidRPr="00111C32">
        <w:rPr>
          <w:rFonts w:cs="Arial"/>
          <w:b/>
          <w:szCs w:val="24"/>
          <w:u w:val="single"/>
        </w:rPr>
        <w:t>APITAL PROGRAMME</w:t>
      </w:r>
    </w:p>
    <w:p w14:paraId="2BBA28AC" w14:textId="77777777" w:rsidR="00A556C0" w:rsidRPr="00111C32" w:rsidRDefault="00A556C0" w:rsidP="00A556C0">
      <w:pPr>
        <w:tabs>
          <w:tab w:val="left" w:pos="567"/>
        </w:tabs>
        <w:jc w:val="both"/>
        <w:rPr>
          <w:rFonts w:cs="Arial"/>
          <w:b/>
          <w:szCs w:val="24"/>
          <w:u w:val="single"/>
        </w:rPr>
      </w:pPr>
    </w:p>
    <w:p w14:paraId="1F432B6A" w14:textId="137945CF" w:rsidR="002D1874" w:rsidRPr="00541017" w:rsidRDefault="001C512F" w:rsidP="00AF06B3">
      <w:pPr>
        <w:pStyle w:val="ListParagraph"/>
        <w:numPr>
          <w:ilvl w:val="0"/>
          <w:numId w:val="2"/>
        </w:numPr>
        <w:tabs>
          <w:tab w:val="left" w:pos="567"/>
        </w:tabs>
        <w:ind w:left="567" w:hanging="567"/>
        <w:jc w:val="both"/>
        <w:rPr>
          <w:rFonts w:cs="Arial"/>
          <w:b/>
          <w:color w:val="FF0000"/>
          <w:szCs w:val="24"/>
          <w:u w:val="single"/>
        </w:rPr>
      </w:pPr>
      <w:r w:rsidRPr="00111C32">
        <w:rPr>
          <w:rFonts w:cs="Arial"/>
          <w:szCs w:val="24"/>
        </w:rPr>
        <w:t xml:space="preserve">The </w:t>
      </w:r>
      <w:r w:rsidR="00D04F65" w:rsidRPr="00111C32">
        <w:rPr>
          <w:rFonts w:cs="Arial"/>
          <w:szCs w:val="24"/>
        </w:rPr>
        <w:t xml:space="preserve">revised capital budget for </w:t>
      </w:r>
      <w:r w:rsidR="00111C32" w:rsidRPr="00111C32">
        <w:rPr>
          <w:rFonts w:cs="Arial"/>
          <w:szCs w:val="24"/>
        </w:rPr>
        <w:t>2023-24</w:t>
      </w:r>
      <w:r w:rsidR="00C8102B" w:rsidRPr="00111C32">
        <w:rPr>
          <w:rFonts w:cs="Arial"/>
          <w:szCs w:val="24"/>
        </w:rPr>
        <w:t xml:space="preserve"> </w:t>
      </w:r>
      <w:r w:rsidR="00D04F65" w:rsidRPr="00111C32">
        <w:rPr>
          <w:rFonts w:cs="Arial"/>
          <w:szCs w:val="24"/>
        </w:rPr>
        <w:t xml:space="preserve">is </w:t>
      </w:r>
      <w:r w:rsidR="00BC0021" w:rsidRPr="00111C32">
        <w:rPr>
          <w:rFonts w:cs="Arial"/>
          <w:bCs/>
          <w:szCs w:val="24"/>
        </w:rPr>
        <w:t>£</w:t>
      </w:r>
      <w:r w:rsidR="00111C32" w:rsidRPr="00111C32">
        <w:rPr>
          <w:rFonts w:cs="Arial"/>
          <w:bCs/>
          <w:szCs w:val="24"/>
        </w:rPr>
        <w:t>158.391m</w:t>
      </w:r>
      <w:r w:rsidR="00BC0021" w:rsidRPr="00111C32">
        <w:rPr>
          <w:rFonts w:cs="Arial"/>
          <w:bCs/>
          <w:szCs w:val="24"/>
        </w:rPr>
        <w:t xml:space="preserve"> </w:t>
      </w:r>
      <w:r w:rsidR="00D62AA2" w:rsidRPr="00111C32">
        <w:rPr>
          <w:rFonts w:cs="Arial"/>
          <w:bCs/>
          <w:szCs w:val="24"/>
        </w:rPr>
        <w:t>as set out at Table</w:t>
      </w:r>
      <w:r w:rsidR="00C920C9" w:rsidRPr="00111C32">
        <w:rPr>
          <w:rFonts w:cs="Arial"/>
          <w:bCs/>
          <w:szCs w:val="24"/>
        </w:rPr>
        <w:t xml:space="preserve"> </w:t>
      </w:r>
      <w:r w:rsidR="009A55D3">
        <w:rPr>
          <w:rFonts w:cs="Arial"/>
          <w:bCs/>
          <w:szCs w:val="24"/>
        </w:rPr>
        <w:t>11</w:t>
      </w:r>
      <w:r w:rsidR="002F500F" w:rsidRPr="00111C32">
        <w:rPr>
          <w:rFonts w:cs="Arial"/>
          <w:bCs/>
          <w:szCs w:val="24"/>
        </w:rPr>
        <w:t xml:space="preserve"> and in more </w:t>
      </w:r>
      <w:r w:rsidR="002F500F" w:rsidRPr="001B7300">
        <w:rPr>
          <w:rFonts w:cs="Arial"/>
          <w:bCs/>
          <w:szCs w:val="24"/>
        </w:rPr>
        <w:t xml:space="preserve">detail at Appendix </w:t>
      </w:r>
      <w:r w:rsidR="001B7300" w:rsidRPr="001B7300">
        <w:rPr>
          <w:rFonts w:cs="Arial"/>
          <w:bCs/>
          <w:szCs w:val="24"/>
        </w:rPr>
        <w:t>3</w:t>
      </w:r>
      <w:r w:rsidR="001546BF" w:rsidRPr="001B7300">
        <w:rPr>
          <w:rFonts w:cs="Arial"/>
          <w:bCs/>
          <w:szCs w:val="24"/>
        </w:rPr>
        <w:t>:</w:t>
      </w:r>
    </w:p>
    <w:p w14:paraId="42923961" w14:textId="77777777" w:rsidR="00DD6F38" w:rsidRPr="00541017" w:rsidRDefault="00DD6F38" w:rsidP="004052E3">
      <w:pPr>
        <w:ind w:left="567" w:hanging="567"/>
        <w:rPr>
          <w:rFonts w:cs="Arial"/>
          <w:b/>
          <w:color w:val="FF0000"/>
          <w:szCs w:val="24"/>
        </w:rPr>
      </w:pPr>
    </w:p>
    <w:p w14:paraId="2936A4C0" w14:textId="22BB23E9" w:rsidR="00923DC1" w:rsidRPr="00541017" w:rsidRDefault="004052E3" w:rsidP="004052E3">
      <w:pPr>
        <w:ind w:left="567" w:hanging="567"/>
        <w:rPr>
          <w:rFonts w:cs="Arial"/>
          <w:b/>
          <w:color w:val="FF0000"/>
          <w:szCs w:val="24"/>
          <w:u w:val="single"/>
        </w:rPr>
      </w:pPr>
      <w:r w:rsidRPr="00111C32">
        <w:rPr>
          <w:rFonts w:cs="Arial"/>
          <w:b/>
          <w:szCs w:val="24"/>
          <w:u w:val="single"/>
        </w:rPr>
        <w:t xml:space="preserve">Table </w:t>
      </w:r>
      <w:r w:rsidR="009A55D3">
        <w:rPr>
          <w:rFonts w:cs="Arial"/>
          <w:b/>
          <w:szCs w:val="24"/>
          <w:u w:val="single"/>
        </w:rPr>
        <w:t>11</w:t>
      </w:r>
      <w:r w:rsidRPr="00111C32">
        <w:rPr>
          <w:rFonts w:cs="Arial"/>
          <w:b/>
          <w:szCs w:val="24"/>
          <w:u w:val="single"/>
        </w:rPr>
        <w:t>: Capital Programme Budget 20</w:t>
      </w:r>
      <w:r w:rsidR="00111C32" w:rsidRPr="00111C32">
        <w:rPr>
          <w:rFonts w:cs="Arial"/>
          <w:b/>
          <w:szCs w:val="24"/>
          <w:u w:val="single"/>
        </w:rPr>
        <w:t>23-24</w:t>
      </w:r>
      <w:r w:rsidRPr="00111C32">
        <w:rPr>
          <w:rFonts w:cs="Arial"/>
          <w:b/>
          <w:szCs w:val="24"/>
          <w:u w:val="single"/>
        </w:rPr>
        <w:t xml:space="preserve"> Q1</w:t>
      </w:r>
    </w:p>
    <w:p w14:paraId="1E04C938" w14:textId="77777777" w:rsidR="0081366B" w:rsidRPr="00541017" w:rsidRDefault="00923DC1" w:rsidP="00AA1332">
      <w:pPr>
        <w:ind w:hanging="567"/>
        <w:rPr>
          <w:rFonts w:cs="Arial"/>
          <w:b/>
          <w:color w:val="FF0000"/>
          <w:szCs w:val="24"/>
        </w:rPr>
      </w:pPr>
      <w:r w:rsidRPr="00541017">
        <w:rPr>
          <w:rFonts w:cs="Arial"/>
          <w:b/>
          <w:color w:val="FF0000"/>
          <w:szCs w:val="24"/>
        </w:rPr>
        <w:tab/>
      </w:r>
    </w:p>
    <w:p w14:paraId="268E5D22" w14:textId="7FC62D3C" w:rsidR="0081366B" w:rsidRPr="00541017" w:rsidRDefault="00111C32" w:rsidP="00111C32">
      <w:pPr>
        <w:ind w:left="-709"/>
        <w:rPr>
          <w:rFonts w:cs="Arial"/>
          <w:b/>
          <w:color w:val="FF0000"/>
          <w:szCs w:val="24"/>
        </w:rPr>
      </w:pPr>
      <w:r w:rsidRPr="00111C32">
        <w:rPr>
          <w:noProof/>
        </w:rPr>
        <w:drawing>
          <wp:inline distT="0" distB="0" distL="0" distR="0" wp14:anchorId="1CDD1FEA" wp14:editId="7B22045F">
            <wp:extent cx="6875867" cy="412750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2660" cy="4131578"/>
                    </a:xfrm>
                    <a:prstGeom prst="rect">
                      <a:avLst/>
                    </a:prstGeom>
                    <a:noFill/>
                    <a:ln>
                      <a:noFill/>
                    </a:ln>
                  </pic:spPr>
                </pic:pic>
              </a:graphicData>
            </a:graphic>
          </wp:inline>
        </w:drawing>
      </w:r>
    </w:p>
    <w:p w14:paraId="5A4C02A2" w14:textId="77777777" w:rsidR="0081366B" w:rsidRPr="00541017" w:rsidRDefault="0081366B" w:rsidP="00AA1332">
      <w:pPr>
        <w:ind w:hanging="567"/>
        <w:rPr>
          <w:rFonts w:cs="Arial"/>
          <w:b/>
          <w:color w:val="FF0000"/>
          <w:szCs w:val="24"/>
        </w:rPr>
      </w:pPr>
    </w:p>
    <w:p w14:paraId="6B5E16FC" w14:textId="77777777" w:rsidR="00C8102B" w:rsidRPr="00541017" w:rsidRDefault="00C8102B" w:rsidP="00AA1332">
      <w:pPr>
        <w:ind w:hanging="567"/>
        <w:rPr>
          <w:rFonts w:cs="Arial"/>
          <w:b/>
          <w:color w:val="FF0000"/>
          <w:szCs w:val="24"/>
        </w:rPr>
      </w:pPr>
    </w:p>
    <w:p w14:paraId="4CFA65CC" w14:textId="77777777" w:rsidR="00111C32" w:rsidRPr="00111C32" w:rsidRDefault="00111C32" w:rsidP="00111C32">
      <w:pPr>
        <w:pStyle w:val="ListParagraph"/>
        <w:numPr>
          <w:ilvl w:val="0"/>
          <w:numId w:val="2"/>
        </w:numPr>
        <w:tabs>
          <w:tab w:val="left" w:pos="567"/>
        </w:tabs>
        <w:ind w:left="567" w:right="140" w:hanging="567"/>
        <w:contextualSpacing/>
        <w:jc w:val="both"/>
        <w:rPr>
          <w:rFonts w:cs="Arial"/>
          <w:color w:val="FF0000"/>
          <w:szCs w:val="24"/>
        </w:rPr>
      </w:pPr>
      <w:r w:rsidRPr="00111C32">
        <w:rPr>
          <w:rFonts w:cs="Arial"/>
          <w:bCs/>
          <w:szCs w:val="24"/>
        </w:rPr>
        <w:t>The general fund capital programme budget in 2023-24 is £102.634m. The net forecast position on the capital budget at Q1 is £76.155m which represents 74% of the total capital programme budget. The variance of £26.478m is made up of proposed slippage of £26.415m and an underspend of £63k</w:t>
      </w:r>
      <w:r>
        <w:rPr>
          <w:rFonts w:cs="Arial"/>
          <w:bCs/>
          <w:szCs w:val="24"/>
        </w:rPr>
        <w:t>.</w:t>
      </w:r>
    </w:p>
    <w:p w14:paraId="176780E5" w14:textId="77777777" w:rsidR="00111C32" w:rsidRPr="00111C32" w:rsidRDefault="00111C32" w:rsidP="00111C32">
      <w:pPr>
        <w:pStyle w:val="ListParagraph"/>
        <w:tabs>
          <w:tab w:val="left" w:pos="567"/>
        </w:tabs>
        <w:ind w:left="567" w:right="140"/>
        <w:contextualSpacing/>
        <w:jc w:val="both"/>
        <w:rPr>
          <w:rFonts w:cs="Arial"/>
          <w:color w:val="FF0000"/>
          <w:szCs w:val="24"/>
        </w:rPr>
      </w:pPr>
    </w:p>
    <w:p w14:paraId="68201C46" w14:textId="3D203394" w:rsidR="00111C32" w:rsidRPr="00111C32" w:rsidRDefault="00111C32" w:rsidP="00111C32">
      <w:pPr>
        <w:pStyle w:val="ListParagraph"/>
        <w:numPr>
          <w:ilvl w:val="0"/>
          <w:numId w:val="2"/>
        </w:numPr>
        <w:tabs>
          <w:tab w:val="left" w:pos="567"/>
        </w:tabs>
        <w:ind w:left="567" w:right="140" w:hanging="567"/>
        <w:contextualSpacing/>
        <w:jc w:val="both"/>
        <w:rPr>
          <w:rFonts w:cs="Arial"/>
          <w:color w:val="FF0000"/>
          <w:szCs w:val="24"/>
        </w:rPr>
      </w:pPr>
      <w:r w:rsidRPr="00111C32">
        <w:rPr>
          <w:rFonts w:cs="Arial"/>
          <w:bCs/>
          <w:szCs w:val="24"/>
        </w:rPr>
        <w:t>The Housing Revenue Account (HRA) capital programme budget is £55.757m. The net forecast position on the HRA capital budget at Q1 is £51.661m which represents 93% of the total HRA capital programme budget. The variance of £4.096m is made up of proposed slippage of £3.891m and a net underspend of £205k.</w:t>
      </w:r>
    </w:p>
    <w:p w14:paraId="5D34CA4B" w14:textId="2D16D3D9" w:rsidR="00976821" w:rsidRDefault="00976821" w:rsidP="002E1E8D">
      <w:pPr>
        <w:pStyle w:val="ListParagraph"/>
        <w:rPr>
          <w:rFonts w:cs="Arial"/>
          <w:color w:val="FF0000"/>
          <w:szCs w:val="24"/>
          <w:highlight w:val="yellow"/>
        </w:rPr>
      </w:pPr>
    </w:p>
    <w:p w14:paraId="5FC9F02A" w14:textId="52F65A8D" w:rsidR="00111C32" w:rsidRDefault="00111C32" w:rsidP="002E1E8D">
      <w:pPr>
        <w:pStyle w:val="ListParagraph"/>
        <w:rPr>
          <w:rFonts w:cs="Arial"/>
          <w:color w:val="FF0000"/>
          <w:szCs w:val="24"/>
          <w:highlight w:val="yellow"/>
        </w:rPr>
      </w:pPr>
    </w:p>
    <w:p w14:paraId="4FFCC38A" w14:textId="2EE669B0" w:rsidR="00FA166E" w:rsidRDefault="00FA166E" w:rsidP="002E1E8D">
      <w:pPr>
        <w:pStyle w:val="ListParagraph"/>
        <w:rPr>
          <w:rFonts w:cs="Arial"/>
          <w:color w:val="FF0000"/>
          <w:szCs w:val="24"/>
          <w:highlight w:val="yellow"/>
        </w:rPr>
      </w:pPr>
    </w:p>
    <w:p w14:paraId="587155A2" w14:textId="77777777" w:rsidR="00FA166E" w:rsidRDefault="00FA166E" w:rsidP="002E1E8D">
      <w:pPr>
        <w:pStyle w:val="ListParagraph"/>
        <w:rPr>
          <w:rFonts w:cs="Arial"/>
          <w:color w:val="FF0000"/>
          <w:szCs w:val="24"/>
          <w:highlight w:val="yellow"/>
        </w:rPr>
      </w:pPr>
    </w:p>
    <w:p w14:paraId="3FD179D2" w14:textId="77777777" w:rsidR="00F82F47" w:rsidRDefault="00F82F47" w:rsidP="002E1E8D">
      <w:pPr>
        <w:pStyle w:val="ListParagraph"/>
        <w:rPr>
          <w:rFonts w:cs="Arial"/>
          <w:color w:val="FF0000"/>
          <w:szCs w:val="24"/>
          <w:highlight w:val="yellow"/>
        </w:rPr>
      </w:pPr>
    </w:p>
    <w:p w14:paraId="2E01B36C" w14:textId="5CE3E9A2" w:rsidR="00A556C0" w:rsidRPr="00CA57BC" w:rsidRDefault="00A556C0" w:rsidP="00800A69">
      <w:pPr>
        <w:ind w:left="567" w:right="140"/>
        <w:rPr>
          <w:rFonts w:cs="Arial"/>
          <w:b/>
          <w:szCs w:val="24"/>
          <w:u w:val="single"/>
        </w:rPr>
      </w:pPr>
      <w:r w:rsidRPr="00CA57BC">
        <w:rPr>
          <w:rFonts w:cs="Arial"/>
          <w:b/>
          <w:szCs w:val="24"/>
          <w:u w:val="single"/>
        </w:rPr>
        <w:lastRenderedPageBreak/>
        <w:t>RESOURCES</w:t>
      </w:r>
    </w:p>
    <w:p w14:paraId="112C16C2" w14:textId="77777777" w:rsidR="001859C2" w:rsidRPr="00CA57BC" w:rsidRDefault="001859C2" w:rsidP="001859C2">
      <w:pPr>
        <w:pStyle w:val="ListParagraph"/>
        <w:tabs>
          <w:tab w:val="left" w:pos="567"/>
        </w:tabs>
        <w:ind w:left="567" w:right="140"/>
        <w:contextualSpacing/>
        <w:jc w:val="both"/>
        <w:rPr>
          <w:rFonts w:cs="Arial"/>
          <w:szCs w:val="24"/>
        </w:rPr>
      </w:pPr>
    </w:p>
    <w:p w14:paraId="24CC7BFC" w14:textId="728A0B95" w:rsidR="00EF5870" w:rsidRPr="002A3927" w:rsidRDefault="00BB63EC" w:rsidP="00BB63EC">
      <w:pPr>
        <w:pStyle w:val="ListParagraph"/>
        <w:numPr>
          <w:ilvl w:val="0"/>
          <w:numId w:val="2"/>
        </w:numPr>
        <w:tabs>
          <w:tab w:val="left" w:pos="567"/>
        </w:tabs>
        <w:ind w:left="567" w:right="140" w:hanging="567"/>
        <w:contextualSpacing/>
        <w:jc w:val="both"/>
        <w:rPr>
          <w:rFonts w:cs="Arial"/>
          <w:b/>
          <w:szCs w:val="24"/>
          <w:lang w:val="en-US"/>
        </w:rPr>
      </w:pPr>
      <w:r w:rsidRPr="00CA57BC">
        <w:rPr>
          <w:rFonts w:cs="Arial"/>
          <w:szCs w:val="24"/>
        </w:rPr>
        <w:t xml:space="preserve">As at Q1 the projected spend is </w:t>
      </w:r>
      <w:r w:rsidRPr="00CA57BC">
        <w:rPr>
          <w:rFonts w:cs="Arial"/>
          <w:bCs/>
          <w:szCs w:val="24"/>
        </w:rPr>
        <w:t>£</w:t>
      </w:r>
      <w:r w:rsidR="00111C32" w:rsidRPr="00CA57BC">
        <w:rPr>
          <w:rFonts w:cs="Arial"/>
          <w:bCs/>
          <w:szCs w:val="24"/>
        </w:rPr>
        <w:t>9.786m</w:t>
      </w:r>
      <w:r w:rsidRPr="00CA57BC">
        <w:rPr>
          <w:rFonts w:cs="Arial"/>
          <w:bCs/>
          <w:szCs w:val="24"/>
        </w:rPr>
        <w:t xml:space="preserve"> which </w:t>
      </w:r>
      <w:r w:rsidR="00751C64" w:rsidRPr="00CA57BC">
        <w:rPr>
          <w:rFonts w:cs="Arial"/>
          <w:bCs/>
          <w:szCs w:val="24"/>
        </w:rPr>
        <w:t>represents</w:t>
      </w:r>
      <w:r w:rsidRPr="00CA57BC">
        <w:rPr>
          <w:rFonts w:cs="Arial"/>
          <w:bCs/>
          <w:szCs w:val="24"/>
        </w:rPr>
        <w:t xml:space="preserve"> </w:t>
      </w:r>
      <w:r w:rsidR="00111C32" w:rsidRPr="00CA57BC">
        <w:rPr>
          <w:rFonts w:cs="Arial"/>
          <w:bCs/>
          <w:szCs w:val="24"/>
        </w:rPr>
        <w:t>9</w:t>
      </w:r>
      <w:r w:rsidRPr="00CA57BC">
        <w:rPr>
          <w:rFonts w:cs="Arial"/>
          <w:bCs/>
          <w:szCs w:val="24"/>
        </w:rPr>
        <w:t>0</w:t>
      </w:r>
      <w:r w:rsidR="00EF5870" w:rsidRPr="00CA57BC">
        <w:rPr>
          <w:rFonts w:cs="Arial"/>
          <w:bCs/>
          <w:szCs w:val="24"/>
        </w:rPr>
        <w:t xml:space="preserve">% of </w:t>
      </w:r>
      <w:r w:rsidRPr="00CA57BC">
        <w:rPr>
          <w:rFonts w:cs="Arial"/>
          <w:bCs/>
          <w:szCs w:val="24"/>
        </w:rPr>
        <w:t xml:space="preserve">the </w:t>
      </w:r>
      <w:r w:rsidR="005A0F94" w:rsidRPr="00CA57BC">
        <w:rPr>
          <w:rFonts w:cs="Arial"/>
          <w:bCs/>
          <w:szCs w:val="24"/>
        </w:rPr>
        <w:t xml:space="preserve">capital </w:t>
      </w:r>
      <w:r w:rsidR="00EF5870" w:rsidRPr="00CA57BC">
        <w:rPr>
          <w:rFonts w:cs="Arial"/>
          <w:bCs/>
          <w:szCs w:val="24"/>
        </w:rPr>
        <w:t>budget</w:t>
      </w:r>
      <w:r w:rsidRPr="00CA57BC">
        <w:rPr>
          <w:rFonts w:cs="Arial"/>
          <w:bCs/>
          <w:szCs w:val="24"/>
        </w:rPr>
        <w:t>.</w:t>
      </w:r>
      <w:r w:rsidR="00EF5870" w:rsidRPr="00CA57BC">
        <w:rPr>
          <w:rFonts w:cs="Arial"/>
          <w:bCs/>
          <w:szCs w:val="24"/>
        </w:rPr>
        <w:t xml:space="preserve"> </w:t>
      </w:r>
      <w:r w:rsidR="00CA57BC" w:rsidRPr="00CA57BC">
        <w:rPr>
          <w:rFonts w:cs="Arial"/>
          <w:bCs/>
          <w:szCs w:val="24"/>
        </w:rPr>
        <w:t>The variance of £1.052m is made up of slippage of £1.049m and a small underspend of £3k. The slippage relates to</w:t>
      </w:r>
      <w:r w:rsidR="002A3927">
        <w:rPr>
          <w:rFonts w:cs="Arial"/>
          <w:bCs/>
          <w:szCs w:val="24"/>
        </w:rPr>
        <w:t xml:space="preserve"> the council wide capital budget which is used to fund various schemes across the council which have not received a capital allocation during the normal budgeting cycle. This is currently uncommitted and therefore will be slipped to 2024-25.</w:t>
      </w:r>
    </w:p>
    <w:p w14:paraId="2F91417C" w14:textId="77777777" w:rsidR="002A3927" w:rsidRPr="00CA57BC" w:rsidRDefault="002A3927" w:rsidP="002A3927">
      <w:pPr>
        <w:pStyle w:val="ListParagraph"/>
        <w:tabs>
          <w:tab w:val="left" w:pos="567"/>
        </w:tabs>
        <w:ind w:left="567" w:right="140"/>
        <w:contextualSpacing/>
        <w:jc w:val="both"/>
        <w:rPr>
          <w:rFonts w:cs="Arial"/>
          <w:b/>
          <w:szCs w:val="24"/>
          <w:lang w:val="en-US"/>
        </w:rPr>
      </w:pPr>
    </w:p>
    <w:p w14:paraId="74B75AF2" w14:textId="2B8F004F" w:rsidR="00B329CE" w:rsidRPr="00D366D7" w:rsidRDefault="002543B8" w:rsidP="003634DA">
      <w:pPr>
        <w:ind w:firstLine="567"/>
        <w:jc w:val="both"/>
        <w:rPr>
          <w:rFonts w:cs="Arial"/>
          <w:b/>
          <w:szCs w:val="24"/>
          <w:u w:val="single"/>
          <w:lang w:val="en-US"/>
        </w:rPr>
      </w:pPr>
      <w:r w:rsidRPr="00D366D7">
        <w:rPr>
          <w:rFonts w:cs="Arial"/>
          <w:b/>
          <w:szCs w:val="24"/>
          <w:u w:val="single"/>
          <w:lang w:val="en-US"/>
        </w:rPr>
        <w:t>PLACE</w:t>
      </w:r>
    </w:p>
    <w:p w14:paraId="371908BB" w14:textId="3A5A0348" w:rsidR="000C14C0" w:rsidRPr="00D46FF4" w:rsidRDefault="000C14C0" w:rsidP="000C14C0">
      <w:pPr>
        <w:pStyle w:val="ListParagraph"/>
        <w:tabs>
          <w:tab w:val="left" w:pos="567"/>
        </w:tabs>
        <w:ind w:left="567"/>
        <w:jc w:val="both"/>
        <w:rPr>
          <w:szCs w:val="24"/>
        </w:rPr>
      </w:pPr>
    </w:p>
    <w:p w14:paraId="2419CA40" w14:textId="3D2ECBB4" w:rsidR="005A0F94" w:rsidRPr="00D46FF4" w:rsidRDefault="007464E7" w:rsidP="00D366D7">
      <w:pPr>
        <w:pStyle w:val="ListParagraph"/>
        <w:numPr>
          <w:ilvl w:val="0"/>
          <w:numId w:val="2"/>
        </w:numPr>
        <w:tabs>
          <w:tab w:val="left" w:pos="567"/>
        </w:tabs>
        <w:ind w:left="567" w:right="140" w:hanging="567"/>
        <w:contextualSpacing/>
        <w:jc w:val="both"/>
        <w:rPr>
          <w:rFonts w:cs="Arial"/>
          <w:bCs/>
          <w:szCs w:val="24"/>
        </w:rPr>
      </w:pPr>
      <w:r w:rsidRPr="00D46FF4">
        <w:rPr>
          <w:rFonts w:cs="Arial"/>
          <w:bCs/>
          <w:szCs w:val="24"/>
        </w:rPr>
        <w:t>As at Q1 the projected spend is £</w:t>
      </w:r>
      <w:r w:rsidR="00D366D7" w:rsidRPr="00D46FF4">
        <w:rPr>
          <w:rFonts w:cs="Arial"/>
          <w:bCs/>
          <w:szCs w:val="24"/>
        </w:rPr>
        <w:t>55.488m</w:t>
      </w:r>
      <w:r w:rsidR="003A08EA">
        <w:rPr>
          <w:rFonts w:cs="Arial"/>
          <w:bCs/>
          <w:szCs w:val="24"/>
        </w:rPr>
        <w:t xml:space="preserve"> </w:t>
      </w:r>
      <w:r w:rsidRPr="00D46FF4">
        <w:rPr>
          <w:rFonts w:cs="Arial"/>
          <w:bCs/>
          <w:szCs w:val="24"/>
        </w:rPr>
        <w:t xml:space="preserve">which represents </w:t>
      </w:r>
      <w:r w:rsidR="00D366D7" w:rsidRPr="00D46FF4">
        <w:rPr>
          <w:rFonts w:cs="Arial"/>
          <w:bCs/>
          <w:szCs w:val="24"/>
        </w:rPr>
        <w:t>76</w:t>
      </w:r>
      <w:r w:rsidRPr="00D46FF4">
        <w:rPr>
          <w:rFonts w:cs="Arial"/>
          <w:bCs/>
          <w:szCs w:val="24"/>
        </w:rPr>
        <w:t xml:space="preserve">% of the capital budget. </w:t>
      </w:r>
      <w:r w:rsidR="002000B9" w:rsidRPr="00D46FF4">
        <w:rPr>
          <w:bCs/>
          <w:szCs w:val="24"/>
        </w:rPr>
        <w:t xml:space="preserve">Of the variance to budget of </w:t>
      </w:r>
      <w:r w:rsidRPr="00D46FF4">
        <w:rPr>
          <w:bCs/>
          <w:szCs w:val="24"/>
        </w:rPr>
        <w:t>£</w:t>
      </w:r>
      <w:r w:rsidR="00D366D7" w:rsidRPr="00D46FF4">
        <w:rPr>
          <w:bCs/>
          <w:szCs w:val="24"/>
        </w:rPr>
        <w:t>32.925</w:t>
      </w:r>
      <w:r w:rsidRPr="00D46FF4">
        <w:rPr>
          <w:bCs/>
          <w:szCs w:val="24"/>
        </w:rPr>
        <w:t>m</w:t>
      </w:r>
      <w:r w:rsidR="002000B9" w:rsidRPr="00D46FF4">
        <w:rPr>
          <w:bCs/>
          <w:szCs w:val="24"/>
        </w:rPr>
        <w:t>, a total of £</w:t>
      </w:r>
      <w:r w:rsidR="00D366D7" w:rsidRPr="00D46FF4">
        <w:rPr>
          <w:bCs/>
          <w:szCs w:val="24"/>
        </w:rPr>
        <w:t>17.685</w:t>
      </w:r>
      <w:r w:rsidRPr="00D46FF4">
        <w:rPr>
          <w:bCs/>
          <w:szCs w:val="24"/>
        </w:rPr>
        <w:t>m</w:t>
      </w:r>
      <w:r w:rsidR="002000B9" w:rsidRPr="00D46FF4">
        <w:rPr>
          <w:bCs/>
          <w:szCs w:val="24"/>
        </w:rPr>
        <w:t xml:space="preserve"> of funding will be slipped to </w:t>
      </w:r>
      <w:r w:rsidRPr="00D46FF4">
        <w:rPr>
          <w:bCs/>
          <w:szCs w:val="24"/>
        </w:rPr>
        <w:t>202</w:t>
      </w:r>
      <w:r w:rsidR="00D366D7" w:rsidRPr="00D46FF4">
        <w:rPr>
          <w:bCs/>
          <w:szCs w:val="24"/>
        </w:rPr>
        <w:t>4</w:t>
      </w:r>
      <w:r w:rsidRPr="00D46FF4">
        <w:rPr>
          <w:bCs/>
          <w:szCs w:val="24"/>
        </w:rPr>
        <w:t>-2</w:t>
      </w:r>
      <w:r w:rsidR="00D366D7" w:rsidRPr="00D46FF4">
        <w:rPr>
          <w:bCs/>
          <w:szCs w:val="24"/>
        </w:rPr>
        <w:t>5 and there is an underspend of £60k.</w:t>
      </w:r>
    </w:p>
    <w:p w14:paraId="59D8AAA8" w14:textId="77777777" w:rsidR="005A0F94" w:rsidRPr="00D46FF4" w:rsidRDefault="005A0F94" w:rsidP="005A0F94">
      <w:pPr>
        <w:pStyle w:val="ListParagraph"/>
        <w:tabs>
          <w:tab w:val="left" w:pos="567"/>
        </w:tabs>
        <w:ind w:left="567" w:right="140"/>
        <w:contextualSpacing/>
        <w:jc w:val="both"/>
        <w:rPr>
          <w:rFonts w:cs="Arial"/>
          <w:bCs/>
          <w:szCs w:val="24"/>
        </w:rPr>
      </w:pPr>
    </w:p>
    <w:p w14:paraId="72962F49" w14:textId="5C527ABC" w:rsidR="005A0F94" w:rsidRPr="00D46FF4" w:rsidRDefault="005A0F94" w:rsidP="005A0F94">
      <w:pPr>
        <w:pStyle w:val="ListParagraph"/>
        <w:tabs>
          <w:tab w:val="left" w:pos="567"/>
        </w:tabs>
        <w:ind w:left="567" w:right="140"/>
        <w:contextualSpacing/>
        <w:jc w:val="both"/>
        <w:rPr>
          <w:rFonts w:cs="Arial"/>
          <w:b/>
          <w:szCs w:val="24"/>
        </w:rPr>
      </w:pPr>
      <w:r w:rsidRPr="00D46FF4">
        <w:rPr>
          <w:rFonts w:cs="Arial"/>
          <w:b/>
          <w:szCs w:val="24"/>
        </w:rPr>
        <w:t>Environment</w:t>
      </w:r>
    </w:p>
    <w:p w14:paraId="06A0FBEF" w14:textId="77777777" w:rsidR="005A0F94" w:rsidRPr="00D46FF4" w:rsidRDefault="005A0F94" w:rsidP="005A0F94">
      <w:pPr>
        <w:pStyle w:val="ListParagraph"/>
        <w:rPr>
          <w:rFonts w:cs="Arial"/>
          <w:bCs/>
          <w:szCs w:val="24"/>
        </w:rPr>
      </w:pPr>
    </w:p>
    <w:p w14:paraId="24B58DF3" w14:textId="3381BFFD" w:rsidR="005A0F94" w:rsidRPr="00D46FF4" w:rsidRDefault="005A0F94" w:rsidP="005A0F94">
      <w:pPr>
        <w:pStyle w:val="ListParagraph"/>
        <w:numPr>
          <w:ilvl w:val="0"/>
          <w:numId w:val="2"/>
        </w:numPr>
        <w:tabs>
          <w:tab w:val="left" w:pos="567"/>
        </w:tabs>
        <w:ind w:left="567" w:right="140" w:hanging="567"/>
        <w:contextualSpacing/>
        <w:jc w:val="both"/>
        <w:rPr>
          <w:rFonts w:cs="Arial"/>
          <w:bCs/>
          <w:szCs w:val="24"/>
        </w:rPr>
      </w:pPr>
      <w:r w:rsidRPr="00D46FF4">
        <w:rPr>
          <w:rFonts w:cs="Arial"/>
          <w:bCs/>
          <w:szCs w:val="24"/>
        </w:rPr>
        <w:t>The services forecast to spend £</w:t>
      </w:r>
      <w:r w:rsidR="00B827F0" w:rsidRPr="00D46FF4">
        <w:rPr>
          <w:rFonts w:cs="Arial"/>
          <w:bCs/>
          <w:szCs w:val="24"/>
        </w:rPr>
        <w:t>32.378</w:t>
      </w:r>
      <w:r w:rsidRPr="00D46FF4">
        <w:rPr>
          <w:rFonts w:cs="Arial"/>
          <w:bCs/>
          <w:szCs w:val="24"/>
        </w:rPr>
        <w:t>m against a budget of £</w:t>
      </w:r>
      <w:r w:rsidR="00B827F0" w:rsidRPr="00D46FF4">
        <w:rPr>
          <w:rFonts w:cs="Arial"/>
          <w:bCs/>
          <w:szCs w:val="24"/>
        </w:rPr>
        <w:t>35.880</w:t>
      </w:r>
      <w:r w:rsidRPr="00D46FF4">
        <w:rPr>
          <w:rFonts w:cs="Arial"/>
          <w:bCs/>
          <w:szCs w:val="24"/>
        </w:rPr>
        <w:t xml:space="preserve">m. </w:t>
      </w:r>
      <w:r w:rsidR="00B827F0" w:rsidRPr="00D46FF4">
        <w:rPr>
          <w:rFonts w:cs="Arial"/>
          <w:bCs/>
          <w:szCs w:val="24"/>
        </w:rPr>
        <w:t>£3.50m</w:t>
      </w:r>
      <w:r w:rsidRPr="00D46FF4">
        <w:rPr>
          <w:rFonts w:cs="Arial"/>
          <w:bCs/>
          <w:szCs w:val="24"/>
        </w:rPr>
        <w:t xml:space="preserve"> is forecast to be slipped to </w:t>
      </w:r>
      <w:r w:rsidR="00B827F0" w:rsidRPr="00D46FF4">
        <w:rPr>
          <w:rFonts w:cs="Arial"/>
          <w:bCs/>
          <w:szCs w:val="24"/>
        </w:rPr>
        <w:t>2024-25.</w:t>
      </w:r>
      <w:r w:rsidRPr="00D46FF4">
        <w:rPr>
          <w:rFonts w:cs="Arial"/>
          <w:bCs/>
          <w:szCs w:val="24"/>
        </w:rPr>
        <w:t xml:space="preserve"> </w:t>
      </w:r>
    </w:p>
    <w:p w14:paraId="594F499B" w14:textId="77777777" w:rsidR="005A0F94" w:rsidRPr="00D46FF4" w:rsidRDefault="005A0F94" w:rsidP="005A0F94">
      <w:pPr>
        <w:pStyle w:val="ListParagraph"/>
        <w:tabs>
          <w:tab w:val="left" w:pos="567"/>
        </w:tabs>
        <w:ind w:left="1440" w:right="140"/>
        <w:contextualSpacing/>
        <w:jc w:val="both"/>
        <w:rPr>
          <w:rFonts w:cs="Arial"/>
          <w:bCs/>
          <w:szCs w:val="24"/>
        </w:rPr>
      </w:pPr>
    </w:p>
    <w:p w14:paraId="29ECE852" w14:textId="09A84532" w:rsidR="005A0F94" w:rsidRPr="00D46FF4" w:rsidRDefault="00B827F0" w:rsidP="00B827F0">
      <w:pPr>
        <w:pStyle w:val="ListParagraph"/>
        <w:numPr>
          <w:ilvl w:val="1"/>
          <w:numId w:val="2"/>
        </w:numPr>
        <w:tabs>
          <w:tab w:val="left" w:pos="1134"/>
        </w:tabs>
        <w:ind w:left="1134" w:right="140" w:hanging="567"/>
        <w:contextualSpacing/>
        <w:jc w:val="both"/>
        <w:rPr>
          <w:rFonts w:cs="Arial"/>
          <w:szCs w:val="24"/>
        </w:rPr>
      </w:pPr>
      <w:r w:rsidRPr="00D46FF4">
        <w:rPr>
          <w:rFonts w:cs="Arial"/>
          <w:b/>
          <w:bCs/>
          <w:szCs w:val="24"/>
        </w:rPr>
        <w:t>Vehicle Procurement</w:t>
      </w:r>
      <w:r w:rsidRPr="00D46FF4">
        <w:rPr>
          <w:rFonts w:cs="Arial"/>
          <w:szCs w:val="24"/>
        </w:rPr>
        <w:t xml:space="preserve"> - £2.637m slippage.</w:t>
      </w:r>
      <w:r w:rsidR="005A0F94" w:rsidRPr="00D46FF4">
        <w:rPr>
          <w:szCs w:val="24"/>
        </w:rPr>
        <w:t xml:space="preserve"> </w:t>
      </w:r>
      <w:r w:rsidR="00233E05" w:rsidRPr="00D46FF4">
        <w:rPr>
          <w:szCs w:val="24"/>
        </w:rPr>
        <w:t xml:space="preserve">The budget of £2.867m was originally set up based on the data in the vehicle replacement programme. Of this, £500k is forecast to be spend this year on the replacement of grounds maintenance vehicles and </w:t>
      </w:r>
      <w:r w:rsidR="00D46FF4" w:rsidRPr="00D46FF4">
        <w:rPr>
          <w:szCs w:val="24"/>
        </w:rPr>
        <w:t>machines</w:t>
      </w:r>
      <w:r w:rsidR="00233E05" w:rsidRPr="00D46FF4">
        <w:rPr>
          <w:szCs w:val="24"/>
        </w:rPr>
        <w:t xml:space="preserve">. A number of minibuses for delivering Brent’s special needs transport service are almost 7 years old and are due to be replaced. </w:t>
      </w:r>
      <w:r w:rsidR="00D46FF4" w:rsidRPr="00D46FF4">
        <w:rPr>
          <w:szCs w:val="24"/>
        </w:rPr>
        <w:t>However,</w:t>
      </w:r>
      <w:r w:rsidR="00233E05" w:rsidRPr="00D46FF4">
        <w:rPr>
          <w:szCs w:val="24"/>
        </w:rPr>
        <w:t xml:space="preserve"> options are to be explored with Brent, </w:t>
      </w:r>
      <w:r w:rsidR="009A55D3" w:rsidRPr="00D46FF4">
        <w:rPr>
          <w:szCs w:val="24"/>
        </w:rPr>
        <w:t>considering</w:t>
      </w:r>
      <w:r w:rsidR="00233E05" w:rsidRPr="00D46FF4">
        <w:rPr>
          <w:szCs w:val="24"/>
        </w:rPr>
        <w:t xml:space="preserve"> their service requirements and the </w:t>
      </w:r>
      <w:r w:rsidR="00D46FF4" w:rsidRPr="00D46FF4">
        <w:rPr>
          <w:szCs w:val="24"/>
        </w:rPr>
        <w:t>potential</w:t>
      </w:r>
      <w:r w:rsidR="00233E05" w:rsidRPr="00D46FF4">
        <w:rPr>
          <w:szCs w:val="24"/>
        </w:rPr>
        <w:t xml:space="preserve"> move to greener vehicles as part of the re-</w:t>
      </w:r>
      <w:r w:rsidR="00D46FF4" w:rsidRPr="00D46FF4">
        <w:rPr>
          <w:szCs w:val="24"/>
        </w:rPr>
        <w:t>procurement</w:t>
      </w:r>
      <w:r w:rsidR="00233E05" w:rsidRPr="00D46FF4">
        <w:rPr>
          <w:szCs w:val="24"/>
        </w:rPr>
        <w:t xml:space="preserve"> process. Given the replacement value of the vehicles, this will be subject to a separate Cabinet decision in future. £2.367m is therefore forecast to be slipped to 2024-25.</w:t>
      </w:r>
    </w:p>
    <w:p w14:paraId="0EB8C653" w14:textId="77777777" w:rsidR="00233E05" w:rsidRPr="00D46FF4" w:rsidRDefault="00233E05" w:rsidP="00233E05">
      <w:pPr>
        <w:pStyle w:val="ListParagraph"/>
        <w:tabs>
          <w:tab w:val="left" w:pos="1134"/>
        </w:tabs>
        <w:ind w:left="1134" w:right="140"/>
        <w:contextualSpacing/>
        <w:jc w:val="both"/>
        <w:rPr>
          <w:rFonts w:cs="Arial"/>
          <w:szCs w:val="24"/>
        </w:rPr>
      </w:pPr>
    </w:p>
    <w:p w14:paraId="65812844" w14:textId="0CC441BF" w:rsidR="00233E05" w:rsidRPr="003A08EA" w:rsidRDefault="00233E05" w:rsidP="003A08EA">
      <w:pPr>
        <w:pStyle w:val="ListParagraph"/>
        <w:numPr>
          <w:ilvl w:val="1"/>
          <w:numId w:val="2"/>
        </w:numPr>
        <w:tabs>
          <w:tab w:val="left" w:pos="1134"/>
        </w:tabs>
        <w:ind w:left="1134" w:right="140" w:hanging="567"/>
        <w:contextualSpacing/>
        <w:jc w:val="both"/>
        <w:rPr>
          <w:rFonts w:cs="Arial"/>
          <w:szCs w:val="24"/>
        </w:rPr>
      </w:pPr>
      <w:r w:rsidRPr="00D46FF4">
        <w:rPr>
          <w:rFonts w:cs="Arial"/>
          <w:b/>
          <w:bCs/>
          <w:szCs w:val="24"/>
        </w:rPr>
        <w:t>Future High Street Fund (FHSF) Harrow Town Centre</w:t>
      </w:r>
      <w:r w:rsidRPr="00D46FF4">
        <w:rPr>
          <w:rFonts w:cs="Arial"/>
          <w:szCs w:val="24"/>
        </w:rPr>
        <w:t xml:space="preserve"> – £1.135m slippage. All 3 projects in the revised FHSF programme are underway following the approval</w:t>
      </w:r>
      <w:r w:rsidR="00D46FF4" w:rsidRPr="00D46FF4">
        <w:rPr>
          <w:rFonts w:cs="Arial"/>
          <w:szCs w:val="24"/>
        </w:rPr>
        <w:t xml:space="preserve"> of the project and adjustment request by DLUHC</w:t>
      </w:r>
      <w:r w:rsidR="00333332">
        <w:rPr>
          <w:rFonts w:cs="Arial"/>
          <w:szCs w:val="24"/>
        </w:rPr>
        <w:t xml:space="preserve"> that all grant is spent by 3</w:t>
      </w:r>
      <w:r w:rsidR="003A08EA">
        <w:rPr>
          <w:rFonts w:cs="Arial"/>
          <w:szCs w:val="24"/>
        </w:rPr>
        <w:t>1</w:t>
      </w:r>
      <w:r w:rsidR="00333332" w:rsidRPr="003A08EA">
        <w:rPr>
          <w:rFonts w:cs="Arial"/>
          <w:szCs w:val="24"/>
        </w:rPr>
        <w:t xml:space="preserve"> March 2024</w:t>
      </w:r>
      <w:r w:rsidR="00D46FF4" w:rsidRPr="003A08EA">
        <w:rPr>
          <w:rFonts w:cs="Arial"/>
          <w:szCs w:val="24"/>
        </w:rPr>
        <w:t>. The budget of £8.319m is made up of FHSF of £7.184m and BCIL of £1.135m. As the grant condition requires the FHSF to be committed no later than 31 March 2024, the FHSF is forecast to be spent this y</w:t>
      </w:r>
      <w:r w:rsidR="003A08EA">
        <w:rPr>
          <w:rFonts w:cs="Arial"/>
          <w:szCs w:val="24"/>
        </w:rPr>
        <w:t>e</w:t>
      </w:r>
      <w:r w:rsidR="00D46FF4" w:rsidRPr="003A08EA">
        <w:rPr>
          <w:rFonts w:cs="Arial"/>
          <w:szCs w:val="24"/>
        </w:rPr>
        <w:t>ar and the BCIL fund is slipped to 2024-25 to meet the remaining costs of the projects.</w:t>
      </w:r>
    </w:p>
    <w:p w14:paraId="47BE3065" w14:textId="66535CDE" w:rsidR="00B827F0" w:rsidRPr="00D46FF4" w:rsidRDefault="00B827F0" w:rsidP="00B827F0">
      <w:pPr>
        <w:pStyle w:val="ListParagraph"/>
        <w:tabs>
          <w:tab w:val="left" w:pos="1134"/>
        </w:tabs>
        <w:ind w:left="1134" w:right="140"/>
        <w:contextualSpacing/>
        <w:jc w:val="both"/>
        <w:rPr>
          <w:rFonts w:cs="Arial"/>
          <w:b/>
          <w:bCs/>
          <w:szCs w:val="24"/>
        </w:rPr>
      </w:pPr>
    </w:p>
    <w:p w14:paraId="5D68EF08" w14:textId="77777777" w:rsidR="002000B9" w:rsidRPr="00D46FF4" w:rsidRDefault="002000B9" w:rsidP="00AF06B3">
      <w:pPr>
        <w:pStyle w:val="ListParagraph"/>
        <w:numPr>
          <w:ilvl w:val="0"/>
          <w:numId w:val="2"/>
        </w:numPr>
        <w:tabs>
          <w:tab w:val="left" w:pos="851"/>
        </w:tabs>
        <w:ind w:left="567" w:hanging="567"/>
        <w:jc w:val="both"/>
        <w:rPr>
          <w:rFonts w:cs="Arial"/>
          <w:szCs w:val="24"/>
        </w:rPr>
      </w:pPr>
      <w:r w:rsidRPr="00D46FF4">
        <w:rPr>
          <w:rFonts w:cs="Arial"/>
          <w:bCs/>
          <w:szCs w:val="24"/>
        </w:rPr>
        <w:t>Unless stated otherwise, the slippage has no implications on the revenue budget.</w:t>
      </w:r>
    </w:p>
    <w:p w14:paraId="1DA6E6CA" w14:textId="77777777" w:rsidR="002000B9" w:rsidRPr="00155982" w:rsidRDefault="002000B9" w:rsidP="002000B9">
      <w:pPr>
        <w:pStyle w:val="ListParagraph"/>
        <w:tabs>
          <w:tab w:val="left" w:pos="851"/>
        </w:tabs>
        <w:ind w:left="567" w:hanging="567"/>
        <w:jc w:val="both"/>
        <w:rPr>
          <w:rFonts w:cs="Arial"/>
          <w:szCs w:val="24"/>
        </w:rPr>
      </w:pPr>
    </w:p>
    <w:p w14:paraId="26F0A7E7" w14:textId="7EE3C19C" w:rsidR="002000B9" w:rsidRPr="00155982" w:rsidRDefault="00D46FF4" w:rsidP="002000B9">
      <w:pPr>
        <w:pStyle w:val="ListParagraph"/>
        <w:tabs>
          <w:tab w:val="left" w:pos="851"/>
        </w:tabs>
        <w:ind w:left="567"/>
        <w:jc w:val="both"/>
        <w:rPr>
          <w:rFonts w:cs="Arial"/>
          <w:szCs w:val="24"/>
        </w:rPr>
      </w:pPr>
      <w:r w:rsidRPr="00155982">
        <w:rPr>
          <w:rFonts w:cs="Arial"/>
          <w:b/>
          <w:szCs w:val="24"/>
        </w:rPr>
        <w:t xml:space="preserve">Inclusive Economy, </w:t>
      </w:r>
      <w:r w:rsidR="009A55D3" w:rsidRPr="00155982">
        <w:rPr>
          <w:rFonts w:cs="Arial"/>
          <w:b/>
          <w:szCs w:val="24"/>
        </w:rPr>
        <w:t>Leisure,</w:t>
      </w:r>
      <w:r w:rsidR="005A0F94" w:rsidRPr="00155982">
        <w:rPr>
          <w:rFonts w:cs="Arial"/>
          <w:b/>
          <w:szCs w:val="24"/>
        </w:rPr>
        <w:t xml:space="preserve"> and </w:t>
      </w:r>
      <w:r w:rsidR="002000B9" w:rsidRPr="00155982">
        <w:rPr>
          <w:rFonts w:cs="Arial"/>
          <w:b/>
          <w:szCs w:val="24"/>
        </w:rPr>
        <w:t>Culture</w:t>
      </w:r>
    </w:p>
    <w:p w14:paraId="79661E8F" w14:textId="77777777" w:rsidR="002000B9" w:rsidRPr="00155982" w:rsidRDefault="002000B9" w:rsidP="002000B9">
      <w:pPr>
        <w:pStyle w:val="ListParagraph"/>
        <w:tabs>
          <w:tab w:val="left" w:pos="851"/>
        </w:tabs>
        <w:ind w:left="567" w:hanging="567"/>
        <w:rPr>
          <w:rFonts w:cs="Arial"/>
          <w:bCs/>
          <w:szCs w:val="24"/>
        </w:rPr>
      </w:pPr>
    </w:p>
    <w:p w14:paraId="1FC27C0C" w14:textId="58503DC5" w:rsidR="00D46FF4" w:rsidRPr="00155982" w:rsidRDefault="00D46FF4" w:rsidP="00155982">
      <w:pPr>
        <w:pStyle w:val="ListParagraph"/>
        <w:numPr>
          <w:ilvl w:val="0"/>
          <w:numId w:val="2"/>
        </w:numPr>
        <w:tabs>
          <w:tab w:val="left" w:pos="851"/>
        </w:tabs>
        <w:ind w:left="567" w:hanging="567"/>
        <w:jc w:val="both"/>
        <w:rPr>
          <w:rFonts w:cs="Arial"/>
          <w:bCs/>
          <w:szCs w:val="24"/>
        </w:rPr>
      </w:pPr>
      <w:r w:rsidRPr="00155982">
        <w:rPr>
          <w:rFonts w:cs="Arial"/>
          <w:bCs/>
          <w:szCs w:val="24"/>
        </w:rPr>
        <w:t>As at Q1 the forecast is £3</w:t>
      </w:r>
      <w:r w:rsidR="00155982" w:rsidRPr="00155982">
        <w:rPr>
          <w:rFonts w:cs="Arial"/>
          <w:bCs/>
          <w:szCs w:val="24"/>
        </w:rPr>
        <w:t>.562m which represents 100% of the capital budget.</w:t>
      </w:r>
    </w:p>
    <w:p w14:paraId="001EA0B4" w14:textId="623B42EE" w:rsidR="002000B9" w:rsidRDefault="002000B9" w:rsidP="002000B9">
      <w:pPr>
        <w:pStyle w:val="ListParagraph"/>
        <w:tabs>
          <w:tab w:val="left" w:pos="851"/>
        </w:tabs>
        <w:ind w:left="567" w:hanging="567"/>
        <w:jc w:val="both"/>
        <w:rPr>
          <w:rFonts w:cs="Arial"/>
          <w:color w:val="FF0000"/>
          <w:szCs w:val="24"/>
        </w:rPr>
      </w:pPr>
    </w:p>
    <w:p w14:paraId="168395E8" w14:textId="511A98E8" w:rsidR="00F82F47" w:rsidRDefault="00F82F47" w:rsidP="002000B9">
      <w:pPr>
        <w:pStyle w:val="ListParagraph"/>
        <w:tabs>
          <w:tab w:val="left" w:pos="851"/>
        </w:tabs>
        <w:ind w:left="567" w:hanging="567"/>
        <w:jc w:val="both"/>
        <w:rPr>
          <w:rFonts w:cs="Arial"/>
          <w:color w:val="FF0000"/>
          <w:szCs w:val="24"/>
        </w:rPr>
      </w:pPr>
    </w:p>
    <w:p w14:paraId="0468DBE5" w14:textId="77777777" w:rsidR="00F82F47" w:rsidRPr="00541017" w:rsidRDefault="00F82F47" w:rsidP="002000B9">
      <w:pPr>
        <w:pStyle w:val="ListParagraph"/>
        <w:tabs>
          <w:tab w:val="left" w:pos="851"/>
        </w:tabs>
        <w:ind w:left="567" w:hanging="567"/>
        <w:jc w:val="both"/>
        <w:rPr>
          <w:rFonts w:cs="Arial"/>
          <w:color w:val="FF0000"/>
          <w:szCs w:val="24"/>
        </w:rPr>
      </w:pPr>
    </w:p>
    <w:p w14:paraId="39874A18" w14:textId="3CE284D3" w:rsidR="007A4D31" w:rsidRPr="00155982" w:rsidRDefault="007A4D31" w:rsidP="007A4D31">
      <w:pPr>
        <w:pStyle w:val="ListParagraph"/>
        <w:tabs>
          <w:tab w:val="left" w:pos="851"/>
        </w:tabs>
        <w:ind w:left="567"/>
        <w:jc w:val="both"/>
        <w:rPr>
          <w:rFonts w:cs="Arial"/>
          <w:b/>
          <w:bCs/>
          <w:szCs w:val="24"/>
        </w:rPr>
      </w:pPr>
      <w:bookmarkStart w:id="5" w:name="_Hlk103930597"/>
      <w:r w:rsidRPr="00155982">
        <w:rPr>
          <w:rFonts w:cs="Arial"/>
          <w:b/>
          <w:bCs/>
          <w:szCs w:val="24"/>
        </w:rPr>
        <w:lastRenderedPageBreak/>
        <w:t>Regeneration</w:t>
      </w:r>
      <w:r w:rsidR="00155982" w:rsidRPr="00155982">
        <w:rPr>
          <w:rFonts w:cs="Arial"/>
          <w:b/>
          <w:bCs/>
          <w:szCs w:val="24"/>
        </w:rPr>
        <w:t xml:space="preserve"> and Development</w:t>
      </w:r>
    </w:p>
    <w:p w14:paraId="242AB765" w14:textId="77777777" w:rsidR="007A4D31" w:rsidRPr="00155982" w:rsidRDefault="007A4D31" w:rsidP="007A4D31">
      <w:pPr>
        <w:pStyle w:val="ListParagraph"/>
        <w:tabs>
          <w:tab w:val="left" w:pos="851"/>
        </w:tabs>
        <w:ind w:left="567"/>
        <w:jc w:val="both"/>
        <w:rPr>
          <w:rFonts w:cs="Arial"/>
          <w:szCs w:val="24"/>
        </w:rPr>
      </w:pPr>
    </w:p>
    <w:p w14:paraId="5078923D" w14:textId="6261FD37" w:rsidR="007A4D31" w:rsidRPr="00155982" w:rsidRDefault="00155982" w:rsidP="00AF06B3">
      <w:pPr>
        <w:pStyle w:val="ListParagraph"/>
        <w:numPr>
          <w:ilvl w:val="0"/>
          <w:numId w:val="2"/>
        </w:numPr>
        <w:tabs>
          <w:tab w:val="left" w:pos="851"/>
        </w:tabs>
        <w:ind w:left="567" w:hanging="567"/>
        <w:jc w:val="both"/>
        <w:rPr>
          <w:rFonts w:cs="Arial"/>
          <w:szCs w:val="24"/>
        </w:rPr>
      </w:pPr>
      <w:r w:rsidRPr="00155982">
        <w:rPr>
          <w:rFonts w:cs="Arial"/>
          <w:szCs w:val="24"/>
        </w:rPr>
        <w:t>As at Q1 the</w:t>
      </w:r>
      <w:r w:rsidR="002000B9" w:rsidRPr="00155982">
        <w:rPr>
          <w:rFonts w:cs="Arial"/>
          <w:szCs w:val="24"/>
        </w:rPr>
        <w:t xml:space="preserve"> service</w:t>
      </w:r>
      <w:r w:rsidR="001B1846" w:rsidRPr="00155982">
        <w:rPr>
          <w:rFonts w:cs="Arial"/>
          <w:szCs w:val="24"/>
        </w:rPr>
        <w:t xml:space="preserve"> forecasts to spend £</w:t>
      </w:r>
      <w:r w:rsidRPr="00155982">
        <w:rPr>
          <w:rFonts w:cs="Arial"/>
          <w:szCs w:val="24"/>
        </w:rPr>
        <w:t>5.172m</w:t>
      </w:r>
      <w:r w:rsidR="001B1846" w:rsidRPr="00155982">
        <w:rPr>
          <w:rFonts w:cs="Arial"/>
          <w:szCs w:val="24"/>
        </w:rPr>
        <w:t xml:space="preserve"> against a budget of £</w:t>
      </w:r>
      <w:r w:rsidRPr="00155982">
        <w:rPr>
          <w:rFonts w:cs="Arial"/>
          <w:szCs w:val="24"/>
        </w:rPr>
        <w:t>19.355</w:t>
      </w:r>
      <w:r w:rsidR="001B1846" w:rsidRPr="00155982">
        <w:rPr>
          <w:rFonts w:cs="Arial"/>
          <w:szCs w:val="24"/>
        </w:rPr>
        <w:t>m. The remaining £1</w:t>
      </w:r>
      <w:r w:rsidRPr="00155982">
        <w:rPr>
          <w:rFonts w:cs="Arial"/>
          <w:szCs w:val="24"/>
        </w:rPr>
        <w:t>4.183</w:t>
      </w:r>
      <w:r w:rsidR="001B1846" w:rsidRPr="00155982">
        <w:rPr>
          <w:rFonts w:cs="Arial"/>
          <w:szCs w:val="24"/>
        </w:rPr>
        <w:t xml:space="preserve">m is forecast to be slipped to </w:t>
      </w:r>
      <w:r w:rsidRPr="00155982">
        <w:rPr>
          <w:rFonts w:cs="Arial"/>
          <w:szCs w:val="24"/>
        </w:rPr>
        <w:t>2024-25.</w:t>
      </w:r>
    </w:p>
    <w:p w14:paraId="307F4686" w14:textId="77777777" w:rsidR="001B1846" w:rsidRPr="00155982" w:rsidRDefault="001B1846" w:rsidP="001B1846">
      <w:pPr>
        <w:pStyle w:val="ListParagraph"/>
        <w:tabs>
          <w:tab w:val="left" w:pos="851"/>
        </w:tabs>
        <w:ind w:left="1440"/>
        <w:jc w:val="both"/>
        <w:rPr>
          <w:rFonts w:cs="Arial"/>
          <w:szCs w:val="24"/>
        </w:rPr>
      </w:pPr>
    </w:p>
    <w:p w14:paraId="5D3D2766" w14:textId="716B35B8" w:rsidR="001B1846" w:rsidRDefault="001B1846" w:rsidP="001B1846">
      <w:pPr>
        <w:pStyle w:val="ListParagraph"/>
        <w:numPr>
          <w:ilvl w:val="1"/>
          <w:numId w:val="2"/>
        </w:numPr>
        <w:tabs>
          <w:tab w:val="left" w:pos="1134"/>
        </w:tabs>
        <w:ind w:left="1134" w:hanging="567"/>
        <w:jc w:val="both"/>
        <w:rPr>
          <w:rFonts w:cs="Arial"/>
          <w:szCs w:val="24"/>
        </w:rPr>
      </w:pPr>
      <w:r w:rsidRPr="00155982">
        <w:rPr>
          <w:rFonts w:cs="Arial"/>
          <w:b/>
          <w:bCs/>
          <w:szCs w:val="24"/>
        </w:rPr>
        <w:t>Investment in H</w:t>
      </w:r>
      <w:r w:rsidR="00F512A4" w:rsidRPr="00155982">
        <w:rPr>
          <w:rFonts w:cs="Arial"/>
          <w:b/>
          <w:bCs/>
          <w:szCs w:val="24"/>
        </w:rPr>
        <w:t>arrow New Civic</w:t>
      </w:r>
      <w:r w:rsidRPr="00155982">
        <w:rPr>
          <w:rFonts w:cs="Arial"/>
          <w:b/>
          <w:bCs/>
          <w:szCs w:val="24"/>
        </w:rPr>
        <w:t xml:space="preserve"> and 3 core sites</w:t>
      </w:r>
      <w:r w:rsidRPr="00155982">
        <w:rPr>
          <w:rFonts w:cs="Arial"/>
          <w:szCs w:val="24"/>
        </w:rPr>
        <w:t xml:space="preserve"> - £1</w:t>
      </w:r>
      <w:r w:rsidR="00155982" w:rsidRPr="00155982">
        <w:rPr>
          <w:rFonts w:cs="Arial"/>
          <w:szCs w:val="24"/>
        </w:rPr>
        <w:t>4.183</w:t>
      </w:r>
      <w:r w:rsidRPr="00155982">
        <w:rPr>
          <w:rFonts w:cs="Arial"/>
          <w:szCs w:val="24"/>
        </w:rPr>
        <w:t xml:space="preserve">m slippage. Following the Cabinet report in </w:t>
      </w:r>
      <w:r w:rsidR="00155982" w:rsidRPr="00155982">
        <w:rPr>
          <w:rFonts w:cs="Arial"/>
          <w:szCs w:val="24"/>
        </w:rPr>
        <w:t>November</w:t>
      </w:r>
      <w:r w:rsidR="003A08EA">
        <w:rPr>
          <w:rFonts w:cs="Arial"/>
          <w:szCs w:val="24"/>
        </w:rPr>
        <w:t xml:space="preserve"> </w:t>
      </w:r>
      <w:r w:rsidR="00155982" w:rsidRPr="00155982">
        <w:rPr>
          <w:rFonts w:cs="Arial"/>
          <w:szCs w:val="24"/>
        </w:rPr>
        <w:t xml:space="preserve">2022 on the review and progress of the Harrow Strategic Development Partnership (HSDP), it was agreed that £10.735m of the budget was earmarked for Grange Farm Phase 2 (private homes) and Grange Farm Phase 3 design and planning (private homes) respectively. This is profiled to be spent in 2024. Of the remaining budget of £3.448m, £500k is </w:t>
      </w:r>
      <w:r w:rsidR="002B2208">
        <w:rPr>
          <w:rFonts w:cs="Arial"/>
          <w:szCs w:val="24"/>
        </w:rPr>
        <w:t xml:space="preserve">earmarked </w:t>
      </w:r>
      <w:r w:rsidR="00155982" w:rsidRPr="00155982">
        <w:rPr>
          <w:rFonts w:cs="Arial"/>
          <w:szCs w:val="24"/>
        </w:rPr>
        <w:t>to fund the Milton Road scheme (commercial unit) and £2.948m will remain in the capital programme for future schemes.</w:t>
      </w:r>
    </w:p>
    <w:p w14:paraId="723D6A8B" w14:textId="77777777" w:rsidR="00155982" w:rsidRPr="00541017" w:rsidRDefault="00155982" w:rsidP="00155982">
      <w:pPr>
        <w:pStyle w:val="ListParagraph"/>
        <w:rPr>
          <w:rFonts w:cs="Arial"/>
          <w:bCs/>
          <w:color w:val="FF0000"/>
          <w:szCs w:val="24"/>
        </w:rPr>
      </w:pPr>
    </w:p>
    <w:p w14:paraId="392D58A6" w14:textId="77777777" w:rsidR="00155982" w:rsidRPr="00155982" w:rsidRDefault="00155982" w:rsidP="00155982">
      <w:pPr>
        <w:pStyle w:val="ListParagraph"/>
        <w:numPr>
          <w:ilvl w:val="1"/>
          <w:numId w:val="16"/>
        </w:numPr>
        <w:tabs>
          <w:tab w:val="left" w:pos="851"/>
        </w:tabs>
        <w:ind w:left="567" w:hanging="567"/>
        <w:jc w:val="both"/>
        <w:rPr>
          <w:rFonts w:cs="Arial"/>
          <w:szCs w:val="24"/>
        </w:rPr>
      </w:pPr>
      <w:r w:rsidRPr="00155982">
        <w:rPr>
          <w:rFonts w:cs="Arial"/>
          <w:szCs w:val="24"/>
        </w:rPr>
        <w:t>Unless stated otherwise, the slippage has no implications on the revenue budget.</w:t>
      </w:r>
    </w:p>
    <w:p w14:paraId="0E66784D" w14:textId="77777777" w:rsidR="00155982" w:rsidRPr="00155982" w:rsidRDefault="00155982" w:rsidP="00155982">
      <w:pPr>
        <w:tabs>
          <w:tab w:val="left" w:pos="1134"/>
        </w:tabs>
        <w:jc w:val="both"/>
        <w:rPr>
          <w:rFonts w:cs="Arial"/>
          <w:szCs w:val="24"/>
        </w:rPr>
      </w:pPr>
    </w:p>
    <w:p w14:paraId="592C7766" w14:textId="77777777" w:rsidR="007A4D31" w:rsidRPr="00155982" w:rsidRDefault="007A4D31" w:rsidP="007A4D31">
      <w:pPr>
        <w:pStyle w:val="ListParagraph"/>
        <w:tabs>
          <w:tab w:val="left" w:pos="851"/>
        </w:tabs>
        <w:ind w:left="567"/>
        <w:jc w:val="both"/>
        <w:rPr>
          <w:rFonts w:cs="Arial"/>
          <w:szCs w:val="24"/>
        </w:rPr>
      </w:pPr>
    </w:p>
    <w:bookmarkEnd w:id="5"/>
    <w:p w14:paraId="42E5E7BE" w14:textId="1BAE9F6A" w:rsidR="007A4D31" w:rsidRPr="00155982" w:rsidRDefault="002000B9" w:rsidP="007A4D31">
      <w:pPr>
        <w:pStyle w:val="ListParagraph"/>
        <w:tabs>
          <w:tab w:val="left" w:pos="851"/>
        </w:tabs>
        <w:ind w:left="567"/>
        <w:jc w:val="both"/>
        <w:rPr>
          <w:b/>
          <w:bCs/>
        </w:rPr>
      </w:pPr>
      <w:r w:rsidRPr="00155982">
        <w:rPr>
          <w:b/>
          <w:bCs/>
        </w:rPr>
        <w:t>Housing General Fund</w:t>
      </w:r>
    </w:p>
    <w:p w14:paraId="15266773" w14:textId="77777777" w:rsidR="00155982" w:rsidRPr="00155982" w:rsidRDefault="00155982" w:rsidP="007A4D31">
      <w:pPr>
        <w:pStyle w:val="ListParagraph"/>
        <w:tabs>
          <w:tab w:val="left" w:pos="851"/>
        </w:tabs>
        <w:ind w:left="567"/>
        <w:jc w:val="both"/>
        <w:rPr>
          <w:rFonts w:cs="Arial"/>
          <w:szCs w:val="24"/>
        </w:rPr>
      </w:pPr>
    </w:p>
    <w:p w14:paraId="4DF9E760" w14:textId="609C7275" w:rsidR="00237FEA" w:rsidRPr="00155982" w:rsidRDefault="00155982" w:rsidP="00AF06B3">
      <w:pPr>
        <w:pStyle w:val="ListParagraph"/>
        <w:numPr>
          <w:ilvl w:val="1"/>
          <w:numId w:val="16"/>
        </w:numPr>
        <w:tabs>
          <w:tab w:val="left" w:pos="851"/>
        </w:tabs>
        <w:ind w:left="567" w:hanging="567"/>
        <w:jc w:val="both"/>
        <w:rPr>
          <w:rFonts w:cs="Arial"/>
          <w:szCs w:val="24"/>
        </w:rPr>
      </w:pPr>
      <w:r w:rsidRPr="00155982">
        <w:rPr>
          <w:rFonts w:cs="Arial"/>
          <w:bCs/>
          <w:szCs w:val="24"/>
        </w:rPr>
        <w:t>As at Q1, t</w:t>
      </w:r>
      <w:r w:rsidR="002000B9" w:rsidRPr="00155982">
        <w:rPr>
          <w:rFonts w:cs="Arial"/>
          <w:bCs/>
          <w:szCs w:val="24"/>
        </w:rPr>
        <w:t xml:space="preserve">he </w:t>
      </w:r>
      <w:r w:rsidR="00D2455E" w:rsidRPr="00155982">
        <w:rPr>
          <w:rFonts w:cs="Arial"/>
          <w:bCs/>
          <w:szCs w:val="24"/>
        </w:rPr>
        <w:t>service</w:t>
      </w:r>
      <w:r w:rsidRPr="00155982">
        <w:rPr>
          <w:rFonts w:cs="Arial"/>
          <w:bCs/>
          <w:szCs w:val="24"/>
        </w:rPr>
        <w:t>s</w:t>
      </w:r>
      <w:r w:rsidR="00D2455E" w:rsidRPr="00155982">
        <w:rPr>
          <w:rFonts w:cs="Arial"/>
          <w:bCs/>
          <w:szCs w:val="24"/>
        </w:rPr>
        <w:t xml:space="preserve"> forecast to spend £</w:t>
      </w:r>
      <w:r w:rsidRPr="00155982">
        <w:rPr>
          <w:rFonts w:cs="Arial"/>
          <w:bCs/>
          <w:szCs w:val="24"/>
        </w:rPr>
        <w:t>11.830m against a budget of £11.890m. The remaining £60k is forecast as an underspend.</w:t>
      </w:r>
      <w:r w:rsidR="00D2455E" w:rsidRPr="00155982">
        <w:rPr>
          <w:rFonts w:cs="Arial"/>
          <w:bCs/>
          <w:szCs w:val="24"/>
        </w:rPr>
        <w:t xml:space="preserve"> </w:t>
      </w:r>
      <w:r w:rsidRPr="00155982">
        <w:rPr>
          <w:rFonts w:cs="Arial"/>
          <w:bCs/>
          <w:szCs w:val="24"/>
        </w:rPr>
        <w:t>This relates to Empty Properties Grant where demand has reduced due to landlords in London exiting the rental market. The rent levels offered by Harrow are no longer competitive even with the guaranteed rent and bond schemes.</w:t>
      </w:r>
    </w:p>
    <w:p w14:paraId="1203DA27" w14:textId="77777777" w:rsidR="00237FEA" w:rsidRPr="00541017" w:rsidRDefault="00237FEA" w:rsidP="00237FEA">
      <w:pPr>
        <w:pStyle w:val="ListParagraph"/>
        <w:tabs>
          <w:tab w:val="left" w:pos="851"/>
        </w:tabs>
        <w:ind w:left="567"/>
        <w:jc w:val="both"/>
        <w:rPr>
          <w:rFonts w:cs="Arial"/>
          <w:color w:val="FF0000"/>
          <w:szCs w:val="24"/>
        </w:rPr>
      </w:pPr>
    </w:p>
    <w:p w14:paraId="08E40CFA" w14:textId="77777777" w:rsidR="00237FEA" w:rsidRPr="00B0799E" w:rsidRDefault="00237FEA" w:rsidP="00237FEA">
      <w:pPr>
        <w:pStyle w:val="ListParagraph"/>
        <w:rPr>
          <w:rFonts w:cs="Arial"/>
          <w:b/>
          <w:bCs/>
          <w:szCs w:val="24"/>
        </w:rPr>
      </w:pPr>
    </w:p>
    <w:p w14:paraId="013928EF" w14:textId="32699422" w:rsidR="00237FEA" w:rsidRPr="00B0799E" w:rsidRDefault="00237FEA" w:rsidP="00237FEA">
      <w:pPr>
        <w:pStyle w:val="ListParagraph"/>
        <w:tabs>
          <w:tab w:val="left" w:pos="851"/>
        </w:tabs>
        <w:ind w:left="567"/>
        <w:jc w:val="both"/>
        <w:rPr>
          <w:rFonts w:cs="Arial"/>
          <w:b/>
          <w:bCs/>
          <w:szCs w:val="24"/>
        </w:rPr>
      </w:pPr>
      <w:r w:rsidRPr="00B0799E">
        <w:rPr>
          <w:rFonts w:cs="Arial"/>
          <w:b/>
          <w:bCs/>
          <w:szCs w:val="24"/>
        </w:rPr>
        <w:t>Housing Revenue Account (HRA)</w:t>
      </w:r>
    </w:p>
    <w:p w14:paraId="317F0F58" w14:textId="77777777" w:rsidR="00237FEA" w:rsidRPr="00B0799E" w:rsidRDefault="00237FEA" w:rsidP="00237FEA">
      <w:pPr>
        <w:pStyle w:val="ListParagraph"/>
        <w:rPr>
          <w:rFonts w:cs="Arial"/>
          <w:bCs/>
          <w:szCs w:val="24"/>
        </w:rPr>
      </w:pPr>
    </w:p>
    <w:p w14:paraId="7ACB403C" w14:textId="0785EC2B" w:rsidR="00237FEA" w:rsidRPr="00B0799E" w:rsidRDefault="00237FEA" w:rsidP="00237FEA">
      <w:pPr>
        <w:pStyle w:val="ListParagraph"/>
        <w:numPr>
          <w:ilvl w:val="1"/>
          <w:numId w:val="16"/>
        </w:numPr>
        <w:tabs>
          <w:tab w:val="left" w:pos="851"/>
        </w:tabs>
        <w:ind w:left="567" w:hanging="567"/>
        <w:jc w:val="both"/>
        <w:rPr>
          <w:rFonts w:cs="Arial"/>
          <w:szCs w:val="24"/>
        </w:rPr>
      </w:pPr>
      <w:r w:rsidRPr="00B0799E">
        <w:rPr>
          <w:rFonts w:cs="Arial"/>
          <w:bCs/>
          <w:szCs w:val="24"/>
        </w:rPr>
        <w:t>The HRA capital programme budget is £</w:t>
      </w:r>
      <w:r w:rsidR="00B0799E" w:rsidRPr="00B0799E">
        <w:rPr>
          <w:rFonts w:cs="Arial"/>
          <w:bCs/>
          <w:szCs w:val="24"/>
        </w:rPr>
        <w:t>55.009m</w:t>
      </w:r>
      <w:r w:rsidRPr="00B0799E">
        <w:rPr>
          <w:rFonts w:cs="Arial"/>
          <w:bCs/>
          <w:szCs w:val="24"/>
        </w:rPr>
        <w:t>. As at Q1 the net forecast spend position is £</w:t>
      </w:r>
      <w:r w:rsidR="00B0799E" w:rsidRPr="00B0799E">
        <w:rPr>
          <w:rFonts w:cs="Arial"/>
          <w:bCs/>
          <w:szCs w:val="24"/>
        </w:rPr>
        <w:t>50.912m</w:t>
      </w:r>
      <w:r w:rsidRPr="00B0799E">
        <w:rPr>
          <w:rFonts w:cs="Arial"/>
          <w:bCs/>
          <w:szCs w:val="24"/>
        </w:rPr>
        <w:t>. The variance of £</w:t>
      </w:r>
      <w:r w:rsidR="00B0799E" w:rsidRPr="00B0799E">
        <w:rPr>
          <w:rFonts w:cs="Arial"/>
          <w:bCs/>
          <w:szCs w:val="24"/>
        </w:rPr>
        <w:t xml:space="preserve">4.096m </w:t>
      </w:r>
      <w:r w:rsidRPr="00B0799E">
        <w:rPr>
          <w:rFonts w:cs="Arial"/>
          <w:bCs/>
          <w:szCs w:val="24"/>
        </w:rPr>
        <w:t>is made up of slippage of £</w:t>
      </w:r>
      <w:r w:rsidR="00B0799E" w:rsidRPr="00B0799E">
        <w:rPr>
          <w:rFonts w:cs="Arial"/>
          <w:bCs/>
          <w:szCs w:val="24"/>
        </w:rPr>
        <w:t>3.891</w:t>
      </w:r>
      <w:r w:rsidRPr="00B0799E">
        <w:rPr>
          <w:rFonts w:cs="Arial"/>
          <w:bCs/>
          <w:szCs w:val="24"/>
        </w:rPr>
        <w:t>m and a net underspend of £</w:t>
      </w:r>
      <w:r w:rsidR="00B0799E" w:rsidRPr="00B0799E">
        <w:rPr>
          <w:rFonts w:cs="Arial"/>
          <w:bCs/>
          <w:szCs w:val="24"/>
        </w:rPr>
        <w:t>205k.</w:t>
      </w:r>
    </w:p>
    <w:p w14:paraId="626C32D5" w14:textId="77777777" w:rsidR="00237FEA" w:rsidRPr="00B0799E" w:rsidRDefault="00237FEA" w:rsidP="00237FEA">
      <w:pPr>
        <w:pStyle w:val="ListParagraph"/>
        <w:rPr>
          <w:rFonts w:cs="Arial"/>
          <w:bCs/>
          <w:szCs w:val="24"/>
        </w:rPr>
      </w:pPr>
    </w:p>
    <w:p w14:paraId="5815DE17" w14:textId="68E6A56F" w:rsidR="00237FEA" w:rsidRPr="00B0799E" w:rsidRDefault="00237FEA" w:rsidP="00237FEA">
      <w:pPr>
        <w:pStyle w:val="ListParagraph"/>
        <w:numPr>
          <w:ilvl w:val="1"/>
          <w:numId w:val="16"/>
        </w:numPr>
        <w:tabs>
          <w:tab w:val="left" w:pos="851"/>
        </w:tabs>
        <w:ind w:left="567" w:hanging="567"/>
        <w:jc w:val="both"/>
        <w:rPr>
          <w:rFonts w:cs="Arial"/>
          <w:szCs w:val="24"/>
        </w:rPr>
      </w:pPr>
      <w:r w:rsidRPr="00B0799E">
        <w:rPr>
          <w:rFonts w:cs="Arial"/>
          <w:bCs/>
          <w:szCs w:val="24"/>
        </w:rPr>
        <w:t>The slippage of £</w:t>
      </w:r>
      <w:r w:rsidR="00B0799E" w:rsidRPr="00B0799E">
        <w:rPr>
          <w:rFonts w:cs="Arial"/>
          <w:bCs/>
          <w:szCs w:val="24"/>
        </w:rPr>
        <w:t>3.891</w:t>
      </w:r>
      <w:r w:rsidRPr="00B0799E">
        <w:rPr>
          <w:rFonts w:cs="Arial"/>
          <w:bCs/>
          <w:szCs w:val="24"/>
        </w:rPr>
        <w:t xml:space="preserve">m relates </w:t>
      </w:r>
      <w:r w:rsidR="00B0799E" w:rsidRPr="00B0799E">
        <w:rPr>
          <w:rFonts w:cs="Arial"/>
          <w:bCs/>
          <w:szCs w:val="24"/>
        </w:rPr>
        <w:t>to the following</w:t>
      </w:r>
      <w:r w:rsidRPr="00B0799E">
        <w:rPr>
          <w:rFonts w:cs="Arial"/>
          <w:bCs/>
          <w:szCs w:val="24"/>
        </w:rPr>
        <w:t xml:space="preserve"> schemes</w:t>
      </w:r>
    </w:p>
    <w:p w14:paraId="59F6053A" w14:textId="77777777" w:rsidR="00237FEA" w:rsidRPr="00F12661" w:rsidRDefault="00237FEA" w:rsidP="00237FEA">
      <w:pPr>
        <w:pStyle w:val="ListParagraph"/>
        <w:rPr>
          <w:rFonts w:cs="Arial"/>
          <w:bCs/>
          <w:szCs w:val="24"/>
        </w:rPr>
      </w:pPr>
    </w:p>
    <w:p w14:paraId="79078EDD" w14:textId="6F3CB8AE" w:rsidR="00B0799E" w:rsidRPr="00F12661" w:rsidRDefault="00B0799E" w:rsidP="00B0799E">
      <w:pPr>
        <w:pStyle w:val="ListParagraph"/>
        <w:numPr>
          <w:ilvl w:val="3"/>
          <w:numId w:val="25"/>
        </w:numPr>
        <w:tabs>
          <w:tab w:val="left" w:pos="1134"/>
        </w:tabs>
        <w:ind w:left="1134" w:hanging="567"/>
        <w:jc w:val="both"/>
        <w:rPr>
          <w:rFonts w:cs="Arial"/>
          <w:szCs w:val="24"/>
        </w:rPr>
      </w:pPr>
      <w:r w:rsidRPr="00F12661">
        <w:rPr>
          <w:rFonts w:cs="Arial"/>
          <w:b/>
          <w:szCs w:val="24"/>
        </w:rPr>
        <w:t>Retrofit for Energy</w:t>
      </w:r>
      <w:r w:rsidR="00237FEA" w:rsidRPr="00F12661">
        <w:rPr>
          <w:rFonts w:cs="Arial"/>
          <w:bCs/>
          <w:szCs w:val="24"/>
        </w:rPr>
        <w:t xml:space="preserve"> - £</w:t>
      </w:r>
      <w:r w:rsidRPr="00F12661">
        <w:rPr>
          <w:rFonts w:cs="Arial"/>
          <w:bCs/>
          <w:szCs w:val="24"/>
        </w:rPr>
        <w:t>1.761m</w:t>
      </w:r>
      <w:r w:rsidR="00237FEA" w:rsidRPr="00F12661">
        <w:rPr>
          <w:rFonts w:cs="Arial"/>
          <w:bCs/>
          <w:szCs w:val="24"/>
        </w:rPr>
        <w:t xml:space="preserve"> slippage</w:t>
      </w:r>
      <w:r w:rsidRPr="00F12661">
        <w:rPr>
          <w:rFonts w:cs="Arial"/>
          <w:szCs w:val="24"/>
        </w:rPr>
        <w:t xml:space="preserve">. The HRA budget report set aside £1.0m placeholder budget as match funding to support bids to the government for energy efficiency/decarbonisation related works. The budget has been reprofiled following a successful bid to the Social Housing Decarbonisation Fund (SHDF) Wave 2, at £2.147m contributing to a contract circa £5.1m of which </w:t>
      </w:r>
      <w:r w:rsidR="00F12661" w:rsidRPr="00F12661">
        <w:rPr>
          <w:rFonts w:cs="Arial"/>
          <w:szCs w:val="24"/>
        </w:rPr>
        <w:t>£2.93m will be co-funding by Harrow to delivery energy efficiency works across over 226 homes over 2 years.</w:t>
      </w:r>
    </w:p>
    <w:p w14:paraId="50609937" w14:textId="77777777" w:rsidR="00F12661" w:rsidRPr="00F12661" w:rsidRDefault="00F12661" w:rsidP="00F12661">
      <w:pPr>
        <w:pStyle w:val="ListParagraph"/>
        <w:tabs>
          <w:tab w:val="left" w:pos="1134"/>
        </w:tabs>
        <w:ind w:left="1134"/>
        <w:jc w:val="both"/>
        <w:rPr>
          <w:rFonts w:cs="Arial"/>
          <w:szCs w:val="24"/>
        </w:rPr>
      </w:pPr>
    </w:p>
    <w:p w14:paraId="763C90E9" w14:textId="24E2A8A0" w:rsidR="00F12661" w:rsidRPr="00F12661" w:rsidRDefault="00F12661" w:rsidP="00B0799E">
      <w:pPr>
        <w:pStyle w:val="ListParagraph"/>
        <w:numPr>
          <w:ilvl w:val="3"/>
          <w:numId w:val="25"/>
        </w:numPr>
        <w:tabs>
          <w:tab w:val="left" w:pos="1134"/>
        </w:tabs>
        <w:ind w:left="1134" w:hanging="567"/>
        <w:jc w:val="both"/>
        <w:rPr>
          <w:rFonts w:cs="Arial"/>
          <w:szCs w:val="24"/>
        </w:rPr>
      </w:pPr>
      <w:r w:rsidRPr="00F12661">
        <w:rPr>
          <w:rFonts w:cs="Arial"/>
          <w:b/>
          <w:szCs w:val="24"/>
        </w:rPr>
        <w:t xml:space="preserve">Grange Farm Phase 2 </w:t>
      </w:r>
      <w:r w:rsidRPr="00F12661">
        <w:rPr>
          <w:rFonts w:cs="Arial"/>
          <w:bCs/>
          <w:szCs w:val="24"/>
        </w:rPr>
        <w:t xml:space="preserve">- £942k slippage and </w:t>
      </w:r>
      <w:r w:rsidRPr="00F12661">
        <w:rPr>
          <w:rFonts w:cs="Arial"/>
          <w:b/>
          <w:szCs w:val="24"/>
        </w:rPr>
        <w:t>Grange Farm Phase 3</w:t>
      </w:r>
      <w:r w:rsidRPr="00F12661">
        <w:rPr>
          <w:rFonts w:cs="Arial"/>
          <w:bCs/>
          <w:szCs w:val="24"/>
        </w:rPr>
        <w:t xml:space="preserve"> - £109k slippage. The budget has been reprofiled to reflect the later than anticipated handover of Phase 1 and pause in design and planning application for Phase 2 and 3 related to the HSDP review.</w:t>
      </w:r>
    </w:p>
    <w:p w14:paraId="10AC1DE2" w14:textId="77777777" w:rsidR="00F12661" w:rsidRPr="00F12661" w:rsidRDefault="00F12661" w:rsidP="00F12661">
      <w:pPr>
        <w:pStyle w:val="ListParagraph"/>
        <w:rPr>
          <w:rFonts w:cs="Arial"/>
          <w:szCs w:val="24"/>
        </w:rPr>
      </w:pPr>
    </w:p>
    <w:p w14:paraId="266BCD34" w14:textId="4F347157" w:rsidR="00F12661" w:rsidRPr="00F12661" w:rsidRDefault="00F12661" w:rsidP="00B0799E">
      <w:pPr>
        <w:pStyle w:val="ListParagraph"/>
        <w:numPr>
          <w:ilvl w:val="3"/>
          <w:numId w:val="25"/>
        </w:numPr>
        <w:tabs>
          <w:tab w:val="left" w:pos="1134"/>
        </w:tabs>
        <w:ind w:left="1134" w:hanging="567"/>
        <w:jc w:val="both"/>
        <w:rPr>
          <w:rFonts w:cs="Arial"/>
          <w:szCs w:val="24"/>
        </w:rPr>
      </w:pPr>
      <w:r w:rsidRPr="00F12661">
        <w:rPr>
          <w:rFonts w:cs="Arial"/>
          <w:b/>
          <w:bCs/>
          <w:szCs w:val="24"/>
        </w:rPr>
        <w:lastRenderedPageBreak/>
        <w:t>Homes for Harrow Phase 2</w:t>
      </w:r>
      <w:r w:rsidRPr="00F12661">
        <w:rPr>
          <w:rFonts w:cs="Arial"/>
          <w:szCs w:val="24"/>
        </w:rPr>
        <w:t xml:space="preserve"> - £1.079m slippage. The budget has been reprofiled to reflect the HSDP review and reprofiling of GLA grant agreed with the GLA to match with start on sites being reprofiled to 2024-25.</w:t>
      </w:r>
    </w:p>
    <w:p w14:paraId="1643A311" w14:textId="77777777" w:rsidR="00F12661" w:rsidRPr="00F12661" w:rsidRDefault="00F12661" w:rsidP="00F12661">
      <w:pPr>
        <w:pStyle w:val="ListParagraph"/>
        <w:tabs>
          <w:tab w:val="left" w:pos="851"/>
        </w:tabs>
        <w:ind w:left="473"/>
        <w:jc w:val="both"/>
        <w:rPr>
          <w:rFonts w:cs="Arial"/>
          <w:color w:val="FF0000"/>
          <w:szCs w:val="24"/>
        </w:rPr>
      </w:pPr>
    </w:p>
    <w:p w14:paraId="3BD37B73" w14:textId="77777777" w:rsidR="00F12661" w:rsidRPr="00B0799E" w:rsidRDefault="00F12661" w:rsidP="00F12661">
      <w:pPr>
        <w:pStyle w:val="ListParagraph"/>
        <w:rPr>
          <w:rFonts w:cs="Arial"/>
          <w:bCs/>
          <w:szCs w:val="24"/>
        </w:rPr>
      </w:pPr>
    </w:p>
    <w:p w14:paraId="7FE84730" w14:textId="4122A942" w:rsidR="00237FEA" w:rsidRPr="00541017" w:rsidRDefault="00F12661" w:rsidP="00F12661">
      <w:pPr>
        <w:pStyle w:val="ListParagraph"/>
        <w:numPr>
          <w:ilvl w:val="1"/>
          <w:numId w:val="16"/>
        </w:numPr>
        <w:tabs>
          <w:tab w:val="left" w:pos="851"/>
        </w:tabs>
        <w:ind w:left="567" w:hanging="567"/>
        <w:jc w:val="both"/>
        <w:rPr>
          <w:rFonts w:cs="Arial"/>
          <w:color w:val="FF0000"/>
          <w:szCs w:val="24"/>
        </w:rPr>
      </w:pPr>
      <w:r w:rsidRPr="00B0799E">
        <w:rPr>
          <w:rFonts w:cs="Arial"/>
          <w:bCs/>
          <w:szCs w:val="24"/>
        </w:rPr>
        <w:t xml:space="preserve">The </w:t>
      </w:r>
      <w:r>
        <w:rPr>
          <w:rFonts w:cs="Arial"/>
          <w:bCs/>
          <w:szCs w:val="24"/>
        </w:rPr>
        <w:t>underspend of £205k relates to the Planned Investment Programme due to changes to specifications and reductions in the property numbers on some schemes.</w:t>
      </w:r>
    </w:p>
    <w:p w14:paraId="3BF6A36C" w14:textId="77777777" w:rsidR="00237FEA" w:rsidRPr="00541017" w:rsidRDefault="00237FEA" w:rsidP="00237FEA">
      <w:pPr>
        <w:tabs>
          <w:tab w:val="left" w:pos="851"/>
        </w:tabs>
        <w:jc w:val="both"/>
        <w:rPr>
          <w:rFonts w:cs="Arial"/>
          <w:color w:val="FF0000"/>
          <w:szCs w:val="24"/>
        </w:rPr>
      </w:pPr>
    </w:p>
    <w:p w14:paraId="6395D5B2" w14:textId="063408ED" w:rsidR="00237FEA" w:rsidRPr="00541017" w:rsidRDefault="00237FEA" w:rsidP="00BF1336">
      <w:pPr>
        <w:pStyle w:val="ListParagraph"/>
        <w:tabs>
          <w:tab w:val="left" w:pos="142"/>
          <w:tab w:val="left" w:pos="284"/>
          <w:tab w:val="left" w:pos="709"/>
        </w:tabs>
        <w:ind w:left="709"/>
        <w:jc w:val="both"/>
        <w:rPr>
          <w:rFonts w:cs="Arial"/>
          <w:b/>
          <w:bCs/>
          <w:color w:val="FF0000"/>
        </w:rPr>
      </w:pPr>
    </w:p>
    <w:p w14:paraId="2070843B" w14:textId="6C97692C" w:rsidR="00BF1336" w:rsidRPr="00F12661" w:rsidRDefault="00BF1336" w:rsidP="00BF1336">
      <w:pPr>
        <w:pStyle w:val="ListParagraph"/>
        <w:tabs>
          <w:tab w:val="left" w:pos="142"/>
          <w:tab w:val="left" w:pos="284"/>
          <w:tab w:val="left" w:pos="709"/>
        </w:tabs>
        <w:ind w:left="709"/>
        <w:jc w:val="both"/>
        <w:rPr>
          <w:rFonts w:cs="Arial"/>
          <w:b/>
          <w:bCs/>
        </w:rPr>
      </w:pPr>
      <w:r w:rsidRPr="00F12661">
        <w:rPr>
          <w:rFonts w:cs="Arial"/>
          <w:b/>
          <w:bCs/>
        </w:rPr>
        <w:t>PEOPLE SERVICES</w:t>
      </w:r>
    </w:p>
    <w:p w14:paraId="178D885A" w14:textId="77777777" w:rsidR="00BF1336" w:rsidRPr="00F12661" w:rsidRDefault="00BF1336" w:rsidP="00BF1336">
      <w:pPr>
        <w:pStyle w:val="ListParagraph"/>
        <w:rPr>
          <w:rFonts w:cs="Arial"/>
          <w:bCs/>
          <w:szCs w:val="24"/>
        </w:rPr>
      </w:pPr>
    </w:p>
    <w:p w14:paraId="3C98EFBB" w14:textId="60394B77" w:rsidR="002B4A5D" w:rsidRPr="00F12661" w:rsidRDefault="001619BF" w:rsidP="001619BF">
      <w:pPr>
        <w:pStyle w:val="ListParagraph"/>
        <w:numPr>
          <w:ilvl w:val="1"/>
          <w:numId w:val="16"/>
        </w:numPr>
        <w:tabs>
          <w:tab w:val="left" w:pos="142"/>
          <w:tab w:val="left" w:pos="284"/>
          <w:tab w:val="left" w:pos="709"/>
        </w:tabs>
        <w:jc w:val="both"/>
        <w:rPr>
          <w:rFonts w:cs="Arial"/>
        </w:rPr>
      </w:pPr>
      <w:r w:rsidRPr="00F12661">
        <w:rPr>
          <w:rFonts w:cs="Arial"/>
          <w:bCs/>
          <w:szCs w:val="24"/>
        </w:rPr>
        <w:t xml:space="preserve">  </w:t>
      </w:r>
      <w:r w:rsidR="0092238D" w:rsidRPr="00F12661">
        <w:rPr>
          <w:rFonts w:cs="Arial"/>
          <w:bCs/>
          <w:szCs w:val="24"/>
        </w:rPr>
        <w:t>As at Q1 the projected spend is £</w:t>
      </w:r>
      <w:r w:rsidR="00F12661" w:rsidRPr="00F12661">
        <w:rPr>
          <w:rFonts w:cs="Arial"/>
          <w:bCs/>
          <w:szCs w:val="24"/>
        </w:rPr>
        <w:t>10.883m</w:t>
      </w:r>
      <w:r w:rsidR="0092238D" w:rsidRPr="00F12661">
        <w:rPr>
          <w:rFonts w:cs="Arial"/>
          <w:bCs/>
          <w:szCs w:val="24"/>
        </w:rPr>
        <w:t xml:space="preserve"> which is </w:t>
      </w:r>
      <w:r w:rsidR="00F12661" w:rsidRPr="00F12661">
        <w:rPr>
          <w:rFonts w:cs="Arial"/>
          <w:bCs/>
          <w:szCs w:val="24"/>
        </w:rPr>
        <w:t>59</w:t>
      </w:r>
      <w:r w:rsidR="0092238D" w:rsidRPr="00F12661">
        <w:rPr>
          <w:rFonts w:cs="Arial"/>
          <w:bCs/>
          <w:szCs w:val="24"/>
        </w:rPr>
        <w:t>% of the total budget.</w:t>
      </w:r>
    </w:p>
    <w:p w14:paraId="22B9BCF9" w14:textId="77777777" w:rsidR="0092238D" w:rsidRPr="00F12661" w:rsidRDefault="0092238D" w:rsidP="0092238D">
      <w:pPr>
        <w:pStyle w:val="ListParagraph"/>
        <w:tabs>
          <w:tab w:val="left" w:pos="142"/>
          <w:tab w:val="left" w:pos="284"/>
          <w:tab w:val="left" w:pos="709"/>
        </w:tabs>
        <w:ind w:left="709"/>
        <w:jc w:val="both"/>
        <w:rPr>
          <w:rFonts w:cs="Arial"/>
        </w:rPr>
      </w:pPr>
    </w:p>
    <w:p w14:paraId="1F0270AF" w14:textId="35EEBC47" w:rsidR="002B4A5D" w:rsidRPr="00F12661" w:rsidRDefault="002B4A5D" w:rsidP="00F805C8">
      <w:pPr>
        <w:pStyle w:val="ListParagraph"/>
        <w:tabs>
          <w:tab w:val="left" w:pos="142"/>
          <w:tab w:val="left" w:pos="284"/>
          <w:tab w:val="left" w:pos="709"/>
        </w:tabs>
        <w:ind w:left="709"/>
        <w:jc w:val="both"/>
        <w:rPr>
          <w:rFonts w:cs="Arial"/>
        </w:rPr>
      </w:pPr>
      <w:r w:rsidRPr="00F12661">
        <w:rPr>
          <w:rFonts w:cs="Arial"/>
          <w:b/>
        </w:rPr>
        <w:t xml:space="preserve">Adult Services </w:t>
      </w:r>
    </w:p>
    <w:p w14:paraId="316CB985" w14:textId="49184461" w:rsidR="002B4A5D" w:rsidRPr="00F12661" w:rsidRDefault="002B4A5D" w:rsidP="002B4A5D">
      <w:pPr>
        <w:spacing w:after="160" w:line="259" w:lineRule="auto"/>
        <w:contextualSpacing/>
        <w:rPr>
          <w:rFonts w:cs="Arial"/>
          <w:bCs/>
          <w:u w:val="single"/>
        </w:rPr>
      </w:pPr>
    </w:p>
    <w:p w14:paraId="264AE6AF" w14:textId="0C306E0C" w:rsidR="002B4A5D" w:rsidRPr="00F12661"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Cs/>
        </w:rPr>
      </w:pPr>
      <w:r w:rsidRPr="00F12661">
        <w:rPr>
          <w:rFonts w:cs="Arial"/>
          <w:bCs/>
          <w:szCs w:val="24"/>
        </w:rPr>
        <w:t xml:space="preserve">As at Q1 the forecast spend is </w:t>
      </w:r>
      <w:r w:rsidR="00F12661" w:rsidRPr="00F12661">
        <w:rPr>
          <w:rFonts w:cs="Arial"/>
          <w:bCs/>
          <w:szCs w:val="24"/>
        </w:rPr>
        <w:t xml:space="preserve">£100k </w:t>
      </w:r>
      <w:r w:rsidRPr="00F12661">
        <w:rPr>
          <w:rFonts w:cs="Arial"/>
          <w:bCs/>
          <w:szCs w:val="24"/>
        </w:rPr>
        <w:t xml:space="preserve">which is </w:t>
      </w:r>
      <w:r w:rsidR="00F12661" w:rsidRPr="00F12661">
        <w:rPr>
          <w:rFonts w:cs="Arial"/>
          <w:bCs/>
          <w:szCs w:val="24"/>
        </w:rPr>
        <w:t>28</w:t>
      </w:r>
      <w:r w:rsidRPr="00F12661">
        <w:rPr>
          <w:rFonts w:cs="Arial"/>
          <w:bCs/>
          <w:szCs w:val="24"/>
        </w:rPr>
        <w:t>% of the total budget. The remaining £</w:t>
      </w:r>
      <w:r w:rsidR="00F12661" w:rsidRPr="00F12661">
        <w:rPr>
          <w:rFonts w:cs="Arial"/>
          <w:bCs/>
          <w:szCs w:val="24"/>
        </w:rPr>
        <w:t>258</w:t>
      </w:r>
      <w:r w:rsidRPr="00F12661">
        <w:rPr>
          <w:rFonts w:cs="Arial"/>
          <w:bCs/>
          <w:szCs w:val="24"/>
        </w:rPr>
        <w:t>k is reported as slippage</w:t>
      </w:r>
      <w:r w:rsidR="00DC02F1" w:rsidRPr="00F12661">
        <w:rPr>
          <w:rFonts w:cs="Arial"/>
          <w:bCs/>
        </w:rPr>
        <w:t>.</w:t>
      </w:r>
      <w:r w:rsidR="00AF347B" w:rsidRPr="00F12661">
        <w:rPr>
          <w:rFonts w:cs="Arial"/>
          <w:bCs/>
        </w:rPr>
        <w:t xml:space="preserve"> </w:t>
      </w:r>
    </w:p>
    <w:p w14:paraId="634CB8A8" w14:textId="77777777" w:rsidR="0092238D" w:rsidRPr="00F12661" w:rsidRDefault="0092238D" w:rsidP="0092238D">
      <w:pPr>
        <w:pStyle w:val="ListParagraph"/>
        <w:tabs>
          <w:tab w:val="left" w:pos="142"/>
          <w:tab w:val="left" w:pos="284"/>
          <w:tab w:val="left" w:pos="709"/>
        </w:tabs>
        <w:spacing w:after="160" w:line="259" w:lineRule="auto"/>
        <w:ind w:left="709"/>
        <w:contextualSpacing/>
        <w:jc w:val="both"/>
        <w:rPr>
          <w:rFonts w:cs="Arial"/>
          <w:bCs/>
          <w:u w:val="single"/>
        </w:rPr>
      </w:pPr>
    </w:p>
    <w:p w14:paraId="284FAD8E" w14:textId="6A42E068" w:rsidR="002B4A5D" w:rsidRPr="00F12661" w:rsidRDefault="002B4A5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F12661">
        <w:rPr>
          <w:rFonts w:cs="Arial"/>
          <w:bCs/>
        </w:rPr>
        <w:t xml:space="preserve">The </w:t>
      </w:r>
      <w:r w:rsidR="0092238D" w:rsidRPr="00F12661">
        <w:rPr>
          <w:rFonts w:cs="Arial"/>
          <w:bCs/>
        </w:rPr>
        <w:t>s</w:t>
      </w:r>
      <w:r w:rsidRPr="00F12661">
        <w:rPr>
          <w:rFonts w:cs="Arial"/>
          <w:bCs/>
        </w:rPr>
        <w:t xml:space="preserve">lippage relates to </w:t>
      </w:r>
      <w:r w:rsidR="005071D3" w:rsidRPr="00F12661">
        <w:rPr>
          <w:rFonts w:cs="Arial"/>
          <w:bCs/>
        </w:rPr>
        <w:t>funding for inhouse provision which largely represents a placeholder in the event of any unforeseen requirements. It is not anticipated that the full budget will be required this financial year. There are no revenue implications as a result of this slippage.</w:t>
      </w:r>
    </w:p>
    <w:p w14:paraId="11415F2F" w14:textId="77777777" w:rsidR="00E41F8A" w:rsidRPr="00F12661" w:rsidRDefault="00E41F8A" w:rsidP="00E41F8A">
      <w:pPr>
        <w:pStyle w:val="ListParagraph"/>
        <w:spacing w:after="160" w:line="259" w:lineRule="auto"/>
        <w:ind w:left="1440"/>
        <w:contextualSpacing/>
        <w:rPr>
          <w:rFonts w:cs="Arial"/>
          <w:b/>
          <w:u w:val="single"/>
        </w:rPr>
      </w:pPr>
    </w:p>
    <w:p w14:paraId="229CF010" w14:textId="77777777" w:rsidR="0092238D" w:rsidRPr="00F12661" w:rsidRDefault="002B4A5D" w:rsidP="00F805C8">
      <w:pPr>
        <w:pStyle w:val="ListParagraph"/>
        <w:tabs>
          <w:tab w:val="left" w:pos="142"/>
          <w:tab w:val="left" w:pos="284"/>
          <w:tab w:val="left" w:pos="709"/>
        </w:tabs>
        <w:spacing w:after="160" w:line="259" w:lineRule="auto"/>
        <w:ind w:left="709"/>
        <w:contextualSpacing/>
        <w:jc w:val="both"/>
        <w:rPr>
          <w:rFonts w:cs="Arial"/>
          <w:b/>
          <w:u w:val="single"/>
        </w:rPr>
      </w:pPr>
      <w:r w:rsidRPr="00F12661">
        <w:rPr>
          <w:rFonts w:cs="Arial"/>
          <w:b/>
        </w:rPr>
        <w:t>Public Health</w:t>
      </w:r>
    </w:p>
    <w:p w14:paraId="4AEB6870" w14:textId="77777777" w:rsidR="0092238D" w:rsidRPr="00F12661" w:rsidRDefault="0092238D" w:rsidP="0092238D">
      <w:pPr>
        <w:pStyle w:val="ListParagraph"/>
        <w:tabs>
          <w:tab w:val="left" w:pos="142"/>
          <w:tab w:val="left" w:pos="284"/>
          <w:tab w:val="left" w:pos="709"/>
        </w:tabs>
        <w:spacing w:after="160" w:line="259" w:lineRule="auto"/>
        <w:ind w:left="709"/>
        <w:contextualSpacing/>
        <w:jc w:val="both"/>
        <w:rPr>
          <w:rFonts w:cs="Arial"/>
          <w:u w:val="single"/>
        </w:rPr>
      </w:pPr>
    </w:p>
    <w:p w14:paraId="338C81DD" w14:textId="3F881F7B" w:rsidR="0092238D" w:rsidRPr="00F12661"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F12661">
        <w:rPr>
          <w:rFonts w:cs="Arial"/>
          <w:szCs w:val="24"/>
        </w:rPr>
        <w:t xml:space="preserve">As at Q1 the projected spend is </w:t>
      </w:r>
      <w:r w:rsidRPr="00F12661">
        <w:rPr>
          <w:rFonts w:cs="Arial"/>
          <w:bCs/>
          <w:szCs w:val="24"/>
        </w:rPr>
        <w:t>£</w:t>
      </w:r>
      <w:r w:rsidR="00F12661" w:rsidRPr="00F12661">
        <w:rPr>
          <w:rFonts w:cs="Arial"/>
          <w:bCs/>
          <w:szCs w:val="24"/>
        </w:rPr>
        <w:t>1</w:t>
      </w:r>
      <w:r w:rsidRPr="00F12661">
        <w:rPr>
          <w:rFonts w:cs="Arial"/>
          <w:bCs/>
          <w:szCs w:val="24"/>
        </w:rPr>
        <w:t xml:space="preserve">k which represents 100% of the budget. </w:t>
      </w:r>
    </w:p>
    <w:p w14:paraId="53A771CD" w14:textId="77777777" w:rsidR="002B4A5D" w:rsidRPr="00541017" w:rsidRDefault="002B4A5D" w:rsidP="002B4A5D">
      <w:pPr>
        <w:pStyle w:val="ListParagraph"/>
        <w:rPr>
          <w:rFonts w:cs="Arial"/>
          <w:b/>
          <w:bCs/>
          <w:color w:val="FF0000"/>
          <w:szCs w:val="24"/>
        </w:rPr>
      </w:pPr>
    </w:p>
    <w:p w14:paraId="52477039" w14:textId="2410F6CE" w:rsidR="00BF1336" w:rsidRPr="00F12661" w:rsidRDefault="00BF1336" w:rsidP="00F805C8">
      <w:pPr>
        <w:pStyle w:val="ListParagraph"/>
        <w:tabs>
          <w:tab w:val="left" w:pos="142"/>
          <w:tab w:val="left" w:pos="284"/>
          <w:tab w:val="left" w:pos="709"/>
        </w:tabs>
        <w:spacing w:after="160" w:line="259" w:lineRule="auto"/>
        <w:ind w:left="709"/>
        <w:contextualSpacing/>
        <w:jc w:val="both"/>
        <w:rPr>
          <w:rFonts w:cs="Arial"/>
          <w:b/>
          <w:u w:val="single"/>
        </w:rPr>
      </w:pPr>
      <w:r w:rsidRPr="00F12661">
        <w:rPr>
          <w:rFonts w:cs="Arial"/>
          <w:b/>
          <w:bCs/>
          <w:szCs w:val="24"/>
        </w:rPr>
        <w:t>Children’s Services</w:t>
      </w:r>
    </w:p>
    <w:p w14:paraId="095D4FD1" w14:textId="77777777" w:rsidR="00BF1336" w:rsidRPr="00F12661" w:rsidRDefault="00BF1336" w:rsidP="00BF1336">
      <w:pPr>
        <w:pStyle w:val="ListParagraph"/>
        <w:tabs>
          <w:tab w:val="left" w:pos="142"/>
          <w:tab w:val="left" w:pos="284"/>
          <w:tab w:val="left" w:pos="709"/>
        </w:tabs>
        <w:ind w:left="709"/>
        <w:jc w:val="both"/>
        <w:rPr>
          <w:rFonts w:cs="Arial"/>
          <w:szCs w:val="24"/>
        </w:rPr>
      </w:pPr>
    </w:p>
    <w:p w14:paraId="3BB50303" w14:textId="5B436A87" w:rsidR="00D461E5" w:rsidRPr="00BF6CCA"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F12661">
        <w:rPr>
          <w:rFonts w:cs="Arial"/>
        </w:rPr>
        <w:t>As at Q1 the projected spend is £</w:t>
      </w:r>
      <w:r w:rsidR="00F12661" w:rsidRPr="00F12661">
        <w:rPr>
          <w:rFonts w:cs="Arial"/>
        </w:rPr>
        <w:t xml:space="preserve">10.782m </w:t>
      </w:r>
      <w:r w:rsidRPr="00F12661">
        <w:rPr>
          <w:rFonts w:cs="Arial"/>
        </w:rPr>
        <w:t xml:space="preserve">which is </w:t>
      </w:r>
      <w:r w:rsidR="00F12661" w:rsidRPr="00F12661">
        <w:rPr>
          <w:rFonts w:cs="Arial"/>
        </w:rPr>
        <w:t>59</w:t>
      </w:r>
      <w:r w:rsidRPr="00F12661">
        <w:rPr>
          <w:rFonts w:cs="Arial"/>
        </w:rPr>
        <w:t>% of the total budget. The remaining £</w:t>
      </w:r>
      <w:r w:rsidR="00F12661" w:rsidRPr="00F12661">
        <w:rPr>
          <w:rFonts w:cs="Arial"/>
        </w:rPr>
        <w:t>7.424</w:t>
      </w:r>
      <w:r w:rsidRPr="00F12661">
        <w:rPr>
          <w:rFonts w:cs="Arial"/>
        </w:rPr>
        <w:t>m will be slipped to future years.</w:t>
      </w:r>
    </w:p>
    <w:p w14:paraId="6335A3F1" w14:textId="77777777" w:rsidR="00BF6CCA" w:rsidRPr="00BF6CCA" w:rsidRDefault="00BF6CCA" w:rsidP="00BF6CCA">
      <w:pPr>
        <w:pStyle w:val="ListParagraph"/>
        <w:rPr>
          <w:rFonts w:cs="Arial"/>
          <w:szCs w:val="24"/>
        </w:rPr>
      </w:pPr>
    </w:p>
    <w:p w14:paraId="6707E2FA" w14:textId="3302D5A6" w:rsidR="002705A5" w:rsidRPr="002705A5" w:rsidRDefault="00BF6CCA" w:rsidP="002705A5">
      <w:pPr>
        <w:pStyle w:val="ListParagraph"/>
        <w:numPr>
          <w:ilvl w:val="1"/>
          <w:numId w:val="16"/>
        </w:numPr>
        <w:tabs>
          <w:tab w:val="left" w:pos="142"/>
          <w:tab w:val="left" w:pos="284"/>
          <w:tab w:val="left" w:pos="709"/>
        </w:tabs>
        <w:ind w:left="709" w:hanging="709"/>
        <w:jc w:val="both"/>
        <w:rPr>
          <w:rFonts w:cs="Arial"/>
          <w:szCs w:val="24"/>
        </w:rPr>
      </w:pPr>
      <w:r>
        <w:rPr>
          <w:rFonts w:cs="Arial"/>
          <w:szCs w:val="24"/>
        </w:rPr>
        <w:t xml:space="preserve">The majority of the slippage relates to grant funding for Special Educational Needs capital projects which are planned for 2024-25. </w:t>
      </w:r>
    </w:p>
    <w:p w14:paraId="43B666D2" w14:textId="04AB105B" w:rsidR="00BF1336" w:rsidRDefault="00BF1336" w:rsidP="002705A5">
      <w:pPr>
        <w:tabs>
          <w:tab w:val="left" w:pos="142"/>
          <w:tab w:val="left" w:pos="284"/>
          <w:tab w:val="left" w:pos="709"/>
        </w:tabs>
        <w:jc w:val="both"/>
        <w:rPr>
          <w:rFonts w:cs="Arial"/>
          <w:szCs w:val="24"/>
        </w:rPr>
      </w:pPr>
    </w:p>
    <w:p w14:paraId="319F214A" w14:textId="77777777" w:rsidR="00CB24A9" w:rsidRPr="00E918E2" w:rsidRDefault="00CB24A9" w:rsidP="002705A5">
      <w:pPr>
        <w:tabs>
          <w:tab w:val="left" w:pos="142"/>
          <w:tab w:val="left" w:pos="284"/>
          <w:tab w:val="left" w:pos="709"/>
        </w:tabs>
        <w:jc w:val="both"/>
        <w:rPr>
          <w:rFonts w:cs="Arial"/>
          <w:szCs w:val="24"/>
        </w:rPr>
      </w:pPr>
    </w:p>
    <w:p w14:paraId="16BB63AA" w14:textId="538BA48F" w:rsidR="002705A5" w:rsidRPr="00E918E2" w:rsidRDefault="002705A5" w:rsidP="002705A5">
      <w:pPr>
        <w:tabs>
          <w:tab w:val="left" w:pos="142"/>
          <w:tab w:val="left" w:pos="284"/>
          <w:tab w:val="left" w:pos="709"/>
        </w:tabs>
        <w:jc w:val="both"/>
        <w:rPr>
          <w:rFonts w:cs="Arial"/>
          <w:b/>
          <w:bCs/>
          <w:szCs w:val="24"/>
        </w:rPr>
      </w:pPr>
      <w:r w:rsidRPr="00E918E2">
        <w:rPr>
          <w:rFonts w:cs="Arial"/>
          <w:b/>
          <w:bCs/>
          <w:szCs w:val="24"/>
        </w:rPr>
        <w:t>ADDITIONS AND AMENDMENTS TO THE CAPITAL PROGRAMME</w:t>
      </w:r>
    </w:p>
    <w:p w14:paraId="209EE582" w14:textId="77777777" w:rsidR="002705A5" w:rsidRPr="00E918E2" w:rsidRDefault="002705A5" w:rsidP="002705A5">
      <w:pPr>
        <w:pStyle w:val="ListParagraph"/>
        <w:rPr>
          <w:rFonts w:cs="Arial"/>
          <w:szCs w:val="24"/>
        </w:rPr>
      </w:pPr>
    </w:p>
    <w:p w14:paraId="0AD782C6" w14:textId="37A22AC2" w:rsidR="002705A5" w:rsidRPr="00E918E2" w:rsidRDefault="00E918E2" w:rsidP="002705A5">
      <w:pPr>
        <w:pStyle w:val="ListParagraph"/>
        <w:numPr>
          <w:ilvl w:val="1"/>
          <w:numId w:val="16"/>
        </w:numPr>
        <w:tabs>
          <w:tab w:val="left" w:pos="142"/>
          <w:tab w:val="left" w:pos="284"/>
          <w:tab w:val="left" w:pos="709"/>
        </w:tabs>
        <w:ind w:left="709" w:hanging="709"/>
        <w:jc w:val="both"/>
        <w:rPr>
          <w:rFonts w:cs="Arial"/>
          <w:b/>
          <w:bCs/>
          <w:szCs w:val="24"/>
        </w:rPr>
      </w:pPr>
      <w:r w:rsidRPr="00E918E2">
        <w:rPr>
          <w:rFonts w:cs="Arial"/>
          <w:b/>
          <w:bCs/>
          <w:szCs w:val="24"/>
        </w:rPr>
        <w:t>Yeading Brook Unbound Project £204,975</w:t>
      </w:r>
      <w:r w:rsidR="002705A5" w:rsidRPr="00E918E2">
        <w:rPr>
          <w:rFonts w:cs="Arial"/>
          <w:b/>
          <w:bCs/>
          <w:szCs w:val="24"/>
        </w:rPr>
        <w:t xml:space="preserve"> </w:t>
      </w:r>
      <w:r w:rsidRPr="00E918E2">
        <w:rPr>
          <w:rFonts w:cs="Arial"/>
          <w:b/>
          <w:bCs/>
          <w:szCs w:val="24"/>
        </w:rPr>
        <w:t>–</w:t>
      </w:r>
      <w:r w:rsidR="002705A5" w:rsidRPr="00E918E2">
        <w:rPr>
          <w:rFonts w:cs="Arial"/>
          <w:b/>
          <w:bCs/>
          <w:szCs w:val="24"/>
        </w:rPr>
        <w:t xml:space="preserve"> addition</w:t>
      </w:r>
    </w:p>
    <w:p w14:paraId="503D52AF" w14:textId="08BCB6B4" w:rsidR="00E918E2" w:rsidRPr="00E918E2" w:rsidRDefault="00E918E2" w:rsidP="00E918E2">
      <w:pPr>
        <w:pStyle w:val="ListParagraph"/>
        <w:tabs>
          <w:tab w:val="left" w:pos="142"/>
          <w:tab w:val="left" w:pos="284"/>
          <w:tab w:val="left" w:pos="709"/>
        </w:tabs>
        <w:ind w:left="709"/>
        <w:jc w:val="both"/>
        <w:rPr>
          <w:rFonts w:cs="Arial"/>
          <w:b/>
          <w:bCs/>
          <w:szCs w:val="24"/>
        </w:rPr>
      </w:pPr>
      <w:r w:rsidRPr="00E918E2">
        <w:rPr>
          <w:rFonts w:cs="Arial"/>
          <w:szCs w:val="24"/>
        </w:rPr>
        <w:t xml:space="preserve">The Yeading Brook Unbound Project seeks to deliver biodiversity, </w:t>
      </w:r>
      <w:r w:rsidR="0052699C" w:rsidRPr="00E918E2">
        <w:rPr>
          <w:rFonts w:cs="Arial"/>
          <w:szCs w:val="24"/>
        </w:rPr>
        <w:t>amenity,</w:t>
      </w:r>
      <w:r w:rsidRPr="00E918E2">
        <w:rPr>
          <w:rFonts w:cs="Arial"/>
          <w:szCs w:val="24"/>
        </w:rPr>
        <w:t xml:space="preserve"> and ecosystem service benefits, targeting sites along the western section of the brook between Headstone Manor Park and </w:t>
      </w:r>
      <w:proofErr w:type="spellStart"/>
      <w:r w:rsidRPr="00E918E2">
        <w:rPr>
          <w:rFonts w:cs="Arial"/>
          <w:szCs w:val="24"/>
        </w:rPr>
        <w:t>Roxbourne</w:t>
      </w:r>
      <w:proofErr w:type="spellEnd"/>
      <w:r w:rsidRPr="00E918E2">
        <w:rPr>
          <w:rFonts w:cs="Arial"/>
          <w:szCs w:val="24"/>
        </w:rPr>
        <w:t xml:space="preserve"> Park. To date, external funding has been secured from the Mayor of London’s Rewild London Fund (£146,121), and Thames Water and the Crane Valley Partnership’s Crane Valley Project Fund (£83,354). These grants will be used to deliver both capital works and revenue activities, with the capital element totalling £204,975. It is </w:t>
      </w:r>
      <w:r w:rsidRPr="00E918E2">
        <w:rPr>
          <w:rFonts w:cs="Arial"/>
          <w:szCs w:val="24"/>
        </w:rPr>
        <w:lastRenderedPageBreak/>
        <w:t>therefore proposed that an additional budget of £204,975 is included in the 2023-24 capital programme.</w:t>
      </w:r>
    </w:p>
    <w:p w14:paraId="08C0918B" w14:textId="77777777" w:rsidR="002705A5" w:rsidRPr="00E918E2" w:rsidRDefault="002705A5" w:rsidP="002705A5">
      <w:pPr>
        <w:pStyle w:val="ListParagraph"/>
        <w:tabs>
          <w:tab w:val="left" w:pos="142"/>
          <w:tab w:val="left" w:pos="284"/>
          <w:tab w:val="left" w:pos="709"/>
        </w:tabs>
        <w:ind w:left="709"/>
        <w:jc w:val="both"/>
        <w:rPr>
          <w:rFonts w:cs="Arial"/>
          <w:szCs w:val="24"/>
        </w:rPr>
      </w:pPr>
    </w:p>
    <w:p w14:paraId="28055903" w14:textId="77777777" w:rsidR="002705A5" w:rsidRPr="00E918E2" w:rsidRDefault="002705A5" w:rsidP="002705A5">
      <w:pPr>
        <w:pStyle w:val="ListParagraph"/>
        <w:rPr>
          <w:rFonts w:cs="Arial"/>
          <w:szCs w:val="24"/>
        </w:rPr>
      </w:pPr>
    </w:p>
    <w:p w14:paraId="70349557" w14:textId="685CBA96" w:rsidR="002705A5" w:rsidRPr="00E918E2" w:rsidRDefault="00E918E2" w:rsidP="002705A5">
      <w:pPr>
        <w:pStyle w:val="ListParagraph"/>
        <w:numPr>
          <w:ilvl w:val="1"/>
          <w:numId w:val="16"/>
        </w:numPr>
        <w:tabs>
          <w:tab w:val="left" w:pos="142"/>
          <w:tab w:val="left" w:pos="284"/>
          <w:tab w:val="left" w:pos="709"/>
        </w:tabs>
        <w:ind w:left="709" w:hanging="709"/>
        <w:jc w:val="both"/>
        <w:rPr>
          <w:rFonts w:cs="Arial"/>
          <w:b/>
          <w:bCs/>
          <w:szCs w:val="24"/>
        </w:rPr>
      </w:pPr>
      <w:r w:rsidRPr="00E918E2">
        <w:rPr>
          <w:rFonts w:cs="Arial"/>
          <w:b/>
          <w:bCs/>
          <w:szCs w:val="24"/>
        </w:rPr>
        <w:t>Electric Vehicle Charging Points</w:t>
      </w:r>
      <w:r w:rsidR="002705A5" w:rsidRPr="00E918E2">
        <w:rPr>
          <w:rFonts w:cs="Arial"/>
          <w:b/>
          <w:bCs/>
          <w:szCs w:val="24"/>
        </w:rPr>
        <w:t xml:space="preserve"> £</w:t>
      </w:r>
      <w:r w:rsidRPr="00E918E2">
        <w:rPr>
          <w:rFonts w:cs="Arial"/>
          <w:b/>
          <w:bCs/>
          <w:szCs w:val="24"/>
        </w:rPr>
        <w:t>520,840</w:t>
      </w:r>
      <w:r w:rsidR="002705A5" w:rsidRPr="00E918E2">
        <w:rPr>
          <w:rFonts w:cs="Arial"/>
          <w:b/>
          <w:bCs/>
          <w:szCs w:val="24"/>
        </w:rPr>
        <w:t xml:space="preserve"> - addition</w:t>
      </w:r>
    </w:p>
    <w:p w14:paraId="2C520EDC" w14:textId="2B553097" w:rsidR="002705A5" w:rsidRDefault="00E918E2" w:rsidP="002705A5">
      <w:pPr>
        <w:pStyle w:val="ListParagraph"/>
        <w:rPr>
          <w:rFonts w:cs="Arial"/>
          <w:szCs w:val="24"/>
        </w:rPr>
      </w:pPr>
      <w:r w:rsidRPr="00E918E2">
        <w:rPr>
          <w:rFonts w:cs="Arial"/>
          <w:szCs w:val="24"/>
        </w:rPr>
        <w:t xml:space="preserve">The Council has successfully secured funding of £520,840 from Office for Zero Emission Vehicles (OZEV) as part of Tranche 2 and Tranche 3 funding rounds for on street residential charging points. The majority </w:t>
      </w:r>
      <w:r>
        <w:rPr>
          <w:rFonts w:cs="Arial"/>
          <w:szCs w:val="24"/>
        </w:rPr>
        <w:t>of the funding is expected to be retained by the Council to fund civil works and signage. A match fund will be provided by a third party supplie</w:t>
      </w:r>
      <w:r w:rsidR="003A08EA">
        <w:rPr>
          <w:rFonts w:cs="Arial"/>
          <w:szCs w:val="24"/>
        </w:rPr>
        <w:t>r</w:t>
      </w:r>
      <w:r>
        <w:rPr>
          <w:rFonts w:cs="Arial"/>
          <w:szCs w:val="24"/>
        </w:rPr>
        <w:t xml:space="preserve"> who will also be responsible for installing and maintaining EV charging points. It is therefore proposed that an additional budget of £520,840 is included in the 2023-24 capital programme.</w:t>
      </w:r>
    </w:p>
    <w:p w14:paraId="4FC5051C" w14:textId="2330817E" w:rsidR="00E918E2" w:rsidRDefault="00E918E2" w:rsidP="002705A5">
      <w:pPr>
        <w:pStyle w:val="ListParagraph"/>
        <w:rPr>
          <w:rFonts w:cs="Arial"/>
          <w:szCs w:val="24"/>
        </w:rPr>
      </w:pPr>
    </w:p>
    <w:p w14:paraId="7C89BA0E" w14:textId="77777777" w:rsidR="00E918E2" w:rsidRPr="00E918E2" w:rsidRDefault="00E918E2" w:rsidP="00E918E2">
      <w:pPr>
        <w:pStyle w:val="ListParagraph"/>
        <w:rPr>
          <w:rFonts w:cs="Arial"/>
          <w:szCs w:val="24"/>
        </w:rPr>
      </w:pPr>
    </w:p>
    <w:p w14:paraId="4AB3AB96" w14:textId="1D2276FE" w:rsidR="00E918E2" w:rsidRPr="00E918E2" w:rsidRDefault="00B512DC" w:rsidP="00E918E2">
      <w:pPr>
        <w:pStyle w:val="ListParagraph"/>
        <w:numPr>
          <w:ilvl w:val="1"/>
          <w:numId w:val="16"/>
        </w:numPr>
        <w:tabs>
          <w:tab w:val="left" w:pos="142"/>
          <w:tab w:val="left" w:pos="284"/>
          <w:tab w:val="left" w:pos="709"/>
        </w:tabs>
        <w:ind w:left="709" w:hanging="709"/>
        <w:jc w:val="both"/>
        <w:rPr>
          <w:rFonts w:cs="Arial"/>
          <w:b/>
          <w:bCs/>
          <w:szCs w:val="24"/>
        </w:rPr>
      </w:pPr>
      <w:r>
        <w:rPr>
          <w:rFonts w:cs="Arial"/>
          <w:b/>
          <w:bCs/>
          <w:szCs w:val="24"/>
        </w:rPr>
        <w:t>Investment in 3 Core Sites (HNC)</w:t>
      </w:r>
      <w:r w:rsidR="00E918E2" w:rsidRPr="00E918E2">
        <w:rPr>
          <w:rFonts w:cs="Arial"/>
          <w:b/>
          <w:bCs/>
          <w:szCs w:val="24"/>
        </w:rPr>
        <w:t xml:space="preserve"> £</w:t>
      </w:r>
      <w:r>
        <w:rPr>
          <w:rFonts w:cs="Arial"/>
          <w:b/>
          <w:bCs/>
          <w:szCs w:val="24"/>
        </w:rPr>
        <w:t>14,183,222</w:t>
      </w:r>
      <w:r w:rsidR="00E918E2" w:rsidRPr="00E918E2">
        <w:rPr>
          <w:rFonts w:cs="Arial"/>
          <w:b/>
          <w:bCs/>
          <w:szCs w:val="24"/>
        </w:rPr>
        <w:t xml:space="preserve"> - </w:t>
      </w:r>
      <w:r>
        <w:rPr>
          <w:rFonts w:cs="Arial"/>
          <w:b/>
          <w:bCs/>
          <w:szCs w:val="24"/>
        </w:rPr>
        <w:t>virement</w:t>
      </w:r>
    </w:p>
    <w:p w14:paraId="05416E5B" w14:textId="77777777" w:rsidR="003A08EA" w:rsidRDefault="00B512DC" w:rsidP="003A08EA">
      <w:pPr>
        <w:pStyle w:val="ListParagraph"/>
        <w:rPr>
          <w:rFonts w:cs="Arial"/>
          <w:szCs w:val="24"/>
        </w:rPr>
      </w:pPr>
      <w:r>
        <w:rPr>
          <w:rFonts w:cs="Arial"/>
          <w:szCs w:val="24"/>
        </w:rPr>
        <w:t xml:space="preserve">In the approved capital programme, there is a total budget (including carry forward from 2022-23) of £14.183m for Investment in 3 Core Sites and Investment in HNC. Following the Cabinet report in November 2022 on the review and progress of the Harrow Strategic Development Partnership (HSDP), it was agreed that £9.905m was committed to private home units for Grange Farm Phase 2 and £830k was committed to the design and planning costs of private home units for Grange Farm Phase 3. </w:t>
      </w:r>
    </w:p>
    <w:p w14:paraId="72792C82" w14:textId="77777777" w:rsidR="003A08EA" w:rsidRDefault="003A08EA" w:rsidP="003A08EA">
      <w:pPr>
        <w:pStyle w:val="ListParagraph"/>
        <w:rPr>
          <w:rFonts w:cs="Arial"/>
          <w:szCs w:val="24"/>
        </w:rPr>
      </w:pPr>
    </w:p>
    <w:p w14:paraId="5535A6FA" w14:textId="5A7007C1" w:rsidR="002B2208" w:rsidRPr="004620D4" w:rsidRDefault="00B512DC" w:rsidP="00E918E2">
      <w:pPr>
        <w:pStyle w:val="ListParagraph"/>
        <w:rPr>
          <w:rFonts w:cs="Arial"/>
          <w:szCs w:val="24"/>
        </w:rPr>
      </w:pPr>
      <w:r w:rsidRPr="003A08EA">
        <w:rPr>
          <w:rFonts w:cs="Arial"/>
          <w:szCs w:val="24"/>
        </w:rPr>
        <w:t>Approval is therefore sought to complete the budget reprofile within the capital programme as follows:</w:t>
      </w:r>
    </w:p>
    <w:p w14:paraId="573BE0A3" w14:textId="2F25B764" w:rsidR="00B512DC" w:rsidRPr="004620D4" w:rsidRDefault="00B512DC" w:rsidP="00E918E2">
      <w:pPr>
        <w:pStyle w:val="ListParagraph"/>
        <w:rPr>
          <w:rFonts w:cs="Arial"/>
          <w:szCs w:val="24"/>
        </w:rPr>
      </w:pPr>
    </w:p>
    <w:tbl>
      <w:tblPr>
        <w:tblStyle w:val="TableGrid"/>
        <w:tblW w:w="0" w:type="auto"/>
        <w:tblLook w:val="04A0" w:firstRow="1" w:lastRow="0" w:firstColumn="1" w:lastColumn="0" w:noHBand="0" w:noVBand="1"/>
      </w:tblPr>
      <w:tblGrid>
        <w:gridCol w:w="5057"/>
        <w:gridCol w:w="1318"/>
        <w:gridCol w:w="1326"/>
        <w:gridCol w:w="1318"/>
      </w:tblGrid>
      <w:tr w:rsidR="004620D4" w:rsidRPr="004620D4" w14:paraId="7656A70B" w14:textId="77777777" w:rsidTr="004620D4">
        <w:tc>
          <w:tcPr>
            <w:tcW w:w="5057" w:type="dxa"/>
          </w:tcPr>
          <w:p w14:paraId="35DD4E09" w14:textId="04D03BCA" w:rsidR="004620D4" w:rsidRPr="004620D4" w:rsidRDefault="004620D4" w:rsidP="00B512DC">
            <w:pPr>
              <w:pStyle w:val="ListParagraph"/>
              <w:ind w:left="0"/>
              <w:rPr>
                <w:rFonts w:cs="Arial"/>
                <w:b/>
                <w:bCs/>
                <w:sz w:val="22"/>
                <w:szCs w:val="22"/>
              </w:rPr>
            </w:pPr>
            <w:r w:rsidRPr="004620D4">
              <w:rPr>
                <w:rFonts w:cs="Arial"/>
                <w:b/>
                <w:bCs/>
                <w:sz w:val="22"/>
                <w:szCs w:val="22"/>
              </w:rPr>
              <w:t>Scheme</w:t>
            </w:r>
          </w:p>
        </w:tc>
        <w:tc>
          <w:tcPr>
            <w:tcW w:w="1318" w:type="dxa"/>
          </w:tcPr>
          <w:p w14:paraId="060770B0" w14:textId="3106A995" w:rsidR="004620D4" w:rsidRPr="004620D4" w:rsidRDefault="004620D4" w:rsidP="00B512DC">
            <w:pPr>
              <w:pStyle w:val="ListParagraph"/>
              <w:ind w:left="0"/>
              <w:rPr>
                <w:rFonts w:cs="Arial"/>
                <w:b/>
                <w:bCs/>
                <w:sz w:val="22"/>
                <w:szCs w:val="22"/>
              </w:rPr>
            </w:pPr>
            <w:r w:rsidRPr="004620D4">
              <w:rPr>
                <w:rFonts w:cs="Arial"/>
                <w:b/>
                <w:bCs/>
                <w:sz w:val="22"/>
                <w:szCs w:val="22"/>
              </w:rPr>
              <w:t xml:space="preserve">2022-23 </w:t>
            </w:r>
          </w:p>
        </w:tc>
        <w:tc>
          <w:tcPr>
            <w:tcW w:w="1326" w:type="dxa"/>
          </w:tcPr>
          <w:p w14:paraId="667AB300" w14:textId="28E9CAC4" w:rsidR="004620D4" w:rsidRPr="004620D4" w:rsidRDefault="004620D4" w:rsidP="00B512DC">
            <w:pPr>
              <w:pStyle w:val="ListParagraph"/>
              <w:ind w:left="0"/>
              <w:rPr>
                <w:rFonts w:cs="Arial"/>
                <w:b/>
                <w:bCs/>
                <w:sz w:val="22"/>
                <w:szCs w:val="22"/>
              </w:rPr>
            </w:pPr>
            <w:r w:rsidRPr="004620D4">
              <w:rPr>
                <w:rFonts w:cs="Arial"/>
                <w:b/>
                <w:bCs/>
                <w:sz w:val="22"/>
                <w:szCs w:val="22"/>
              </w:rPr>
              <w:t>2023-24</w:t>
            </w:r>
          </w:p>
        </w:tc>
        <w:tc>
          <w:tcPr>
            <w:tcW w:w="1318" w:type="dxa"/>
          </w:tcPr>
          <w:p w14:paraId="0C320781" w14:textId="67A48F72" w:rsidR="004620D4" w:rsidRPr="004620D4" w:rsidRDefault="004620D4" w:rsidP="00B512DC">
            <w:pPr>
              <w:pStyle w:val="ListParagraph"/>
              <w:ind w:left="0"/>
              <w:rPr>
                <w:rFonts w:cs="Arial"/>
                <w:b/>
                <w:bCs/>
                <w:sz w:val="22"/>
                <w:szCs w:val="22"/>
              </w:rPr>
            </w:pPr>
            <w:r w:rsidRPr="004620D4">
              <w:rPr>
                <w:rFonts w:cs="Arial"/>
                <w:b/>
                <w:bCs/>
                <w:sz w:val="22"/>
                <w:szCs w:val="22"/>
              </w:rPr>
              <w:t xml:space="preserve">Total </w:t>
            </w:r>
          </w:p>
        </w:tc>
      </w:tr>
      <w:tr w:rsidR="004620D4" w:rsidRPr="004620D4" w14:paraId="0E79B70A" w14:textId="77777777" w:rsidTr="004620D4">
        <w:tc>
          <w:tcPr>
            <w:tcW w:w="5057" w:type="dxa"/>
          </w:tcPr>
          <w:p w14:paraId="75534043" w14:textId="6BBDCA25" w:rsidR="004620D4" w:rsidRPr="004620D4" w:rsidRDefault="004620D4" w:rsidP="00B512DC">
            <w:pPr>
              <w:pStyle w:val="ListParagraph"/>
              <w:ind w:left="0"/>
              <w:rPr>
                <w:rFonts w:cs="Arial"/>
                <w:sz w:val="22"/>
                <w:szCs w:val="22"/>
              </w:rPr>
            </w:pPr>
            <w:r w:rsidRPr="004620D4">
              <w:rPr>
                <w:rFonts w:cs="Arial"/>
                <w:sz w:val="22"/>
                <w:szCs w:val="22"/>
              </w:rPr>
              <w:t>Unallocated – Investment in 3 core sites</w:t>
            </w:r>
          </w:p>
        </w:tc>
        <w:tc>
          <w:tcPr>
            <w:tcW w:w="1318" w:type="dxa"/>
          </w:tcPr>
          <w:p w14:paraId="15D54081" w14:textId="3C4B1BBD" w:rsidR="004620D4" w:rsidRPr="004620D4" w:rsidRDefault="004620D4" w:rsidP="004620D4">
            <w:pPr>
              <w:pStyle w:val="ListParagraph"/>
              <w:ind w:left="0"/>
              <w:jc w:val="right"/>
              <w:rPr>
                <w:rFonts w:cs="Arial"/>
                <w:sz w:val="22"/>
                <w:szCs w:val="22"/>
              </w:rPr>
            </w:pPr>
            <w:r w:rsidRPr="004620D4">
              <w:rPr>
                <w:rFonts w:cs="Arial"/>
                <w:sz w:val="22"/>
                <w:szCs w:val="22"/>
              </w:rPr>
              <w:t>10,198,222</w:t>
            </w:r>
          </w:p>
        </w:tc>
        <w:tc>
          <w:tcPr>
            <w:tcW w:w="1326" w:type="dxa"/>
          </w:tcPr>
          <w:p w14:paraId="31185993" w14:textId="03C3F9A6" w:rsidR="004620D4" w:rsidRPr="004620D4" w:rsidRDefault="004620D4" w:rsidP="004620D4">
            <w:pPr>
              <w:pStyle w:val="ListParagraph"/>
              <w:ind w:left="0"/>
              <w:jc w:val="right"/>
              <w:rPr>
                <w:rFonts w:cs="Arial"/>
                <w:sz w:val="22"/>
                <w:szCs w:val="22"/>
              </w:rPr>
            </w:pPr>
            <w:r w:rsidRPr="004620D4">
              <w:rPr>
                <w:rFonts w:cs="Arial"/>
                <w:sz w:val="22"/>
                <w:szCs w:val="22"/>
              </w:rPr>
              <w:t>1,915,000</w:t>
            </w:r>
          </w:p>
        </w:tc>
        <w:tc>
          <w:tcPr>
            <w:tcW w:w="1318" w:type="dxa"/>
          </w:tcPr>
          <w:p w14:paraId="0E312589" w14:textId="3C5091CE" w:rsidR="004620D4" w:rsidRPr="004620D4" w:rsidRDefault="004620D4" w:rsidP="004620D4">
            <w:pPr>
              <w:pStyle w:val="ListParagraph"/>
              <w:ind w:left="0"/>
              <w:jc w:val="right"/>
              <w:rPr>
                <w:rFonts w:cs="Arial"/>
                <w:sz w:val="22"/>
                <w:szCs w:val="22"/>
              </w:rPr>
            </w:pPr>
            <w:r w:rsidRPr="004620D4">
              <w:rPr>
                <w:rFonts w:cs="Arial"/>
                <w:sz w:val="22"/>
                <w:szCs w:val="22"/>
              </w:rPr>
              <w:t>12,113,222</w:t>
            </w:r>
          </w:p>
        </w:tc>
      </w:tr>
      <w:tr w:rsidR="004620D4" w:rsidRPr="004620D4" w14:paraId="71647B7B" w14:textId="77777777" w:rsidTr="004620D4">
        <w:tc>
          <w:tcPr>
            <w:tcW w:w="5057" w:type="dxa"/>
          </w:tcPr>
          <w:p w14:paraId="615B70D7" w14:textId="58A0065F" w:rsidR="004620D4" w:rsidRPr="004620D4" w:rsidRDefault="004620D4" w:rsidP="00B512DC">
            <w:pPr>
              <w:pStyle w:val="ListParagraph"/>
              <w:ind w:left="0"/>
              <w:rPr>
                <w:rFonts w:cs="Arial"/>
                <w:sz w:val="22"/>
                <w:szCs w:val="22"/>
              </w:rPr>
            </w:pPr>
            <w:r w:rsidRPr="004620D4">
              <w:rPr>
                <w:rFonts w:cs="Arial"/>
                <w:sz w:val="22"/>
                <w:szCs w:val="22"/>
              </w:rPr>
              <w:t>Investment in HNC</w:t>
            </w:r>
          </w:p>
        </w:tc>
        <w:tc>
          <w:tcPr>
            <w:tcW w:w="1318" w:type="dxa"/>
          </w:tcPr>
          <w:p w14:paraId="0C04DBE0" w14:textId="4F1C0C20" w:rsidR="004620D4" w:rsidRPr="004620D4" w:rsidRDefault="004620D4" w:rsidP="004620D4">
            <w:pPr>
              <w:pStyle w:val="ListParagraph"/>
              <w:ind w:left="0"/>
              <w:jc w:val="right"/>
              <w:rPr>
                <w:rFonts w:cs="Arial"/>
                <w:sz w:val="22"/>
                <w:szCs w:val="22"/>
              </w:rPr>
            </w:pPr>
            <w:r w:rsidRPr="004620D4">
              <w:rPr>
                <w:rFonts w:cs="Arial"/>
                <w:sz w:val="22"/>
                <w:szCs w:val="22"/>
              </w:rPr>
              <w:t>2,070,000</w:t>
            </w:r>
          </w:p>
        </w:tc>
        <w:tc>
          <w:tcPr>
            <w:tcW w:w="1326" w:type="dxa"/>
          </w:tcPr>
          <w:p w14:paraId="3173C5D7" w14:textId="77777777" w:rsidR="004620D4" w:rsidRPr="004620D4" w:rsidRDefault="004620D4" w:rsidP="004620D4">
            <w:pPr>
              <w:pStyle w:val="ListParagraph"/>
              <w:ind w:left="0"/>
              <w:jc w:val="right"/>
              <w:rPr>
                <w:rFonts w:cs="Arial"/>
                <w:sz w:val="22"/>
                <w:szCs w:val="22"/>
              </w:rPr>
            </w:pPr>
          </w:p>
        </w:tc>
        <w:tc>
          <w:tcPr>
            <w:tcW w:w="1318" w:type="dxa"/>
          </w:tcPr>
          <w:p w14:paraId="41799C0D" w14:textId="5AEF3D31" w:rsidR="004620D4" w:rsidRPr="004620D4" w:rsidRDefault="004620D4" w:rsidP="004620D4">
            <w:pPr>
              <w:pStyle w:val="ListParagraph"/>
              <w:ind w:left="0"/>
              <w:jc w:val="right"/>
              <w:rPr>
                <w:rFonts w:cs="Arial"/>
                <w:sz w:val="22"/>
                <w:szCs w:val="22"/>
              </w:rPr>
            </w:pPr>
            <w:r w:rsidRPr="004620D4">
              <w:rPr>
                <w:rFonts w:cs="Arial"/>
                <w:sz w:val="22"/>
                <w:szCs w:val="22"/>
              </w:rPr>
              <w:t>2,070,000</w:t>
            </w:r>
          </w:p>
        </w:tc>
      </w:tr>
      <w:tr w:rsidR="004620D4" w:rsidRPr="004620D4" w14:paraId="2CA9D3DF" w14:textId="77777777" w:rsidTr="004620D4">
        <w:tc>
          <w:tcPr>
            <w:tcW w:w="5057" w:type="dxa"/>
          </w:tcPr>
          <w:p w14:paraId="36E218F1" w14:textId="67AD777C" w:rsidR="004620D4" w:rsidRPr="004620D4" w:rsidRDefault="004620D4" w:rsidP="00B512DC">
            <w:pPr>
              <w:pStyle w:val="ListParagraph"/>
              <w:ind w:left="0"/>
              <w:rPr>
                <w:rFonts w:cs="Arial"/>
                <w:b/>
                <w:bCs/>
                <w:sz w:val="22"/>
                <w:szCs w:val="22"/>
              </w:rPr>
            </w:pPr>
            <w:r w:rsidRPr="004620D4">
              <w:rPr>
                <w:rFonts w:cs="Arial"/>
                <w:b/>
                <w:bCs/>
                <w:sz w:val="22"/>
                <w:szCs w:val="22"/>
              </w:rPr>
              <w:t>Total</w:t>
            </w:r>
          </w:p>
        </w:tc>
        <w:tc>
          <w:tcPr>
            <w:tcW w:w="1318" w:type="dxa"/>
          </w:tcPr>
          <w:p w14:paraId="1AE3A7C0" w14:textId="6A6FEC67" w:rsidR="004620D4" w:rsidRPr="004620D4" w:rsidRDefault="004620D4" w:rsidP="004620D4">
            <w:pPr>
              <w:pStyle w:val="ListParagraph"/>
              <w:ind w:left="0"/>
              <w:jc w:val="right"/>
              <w:rPr>
                <w:rFonts w:cs="Arial"/>
                <w:b/>
                <w:bCs/>
                <w:sz w:val="22"/>
                <w:szCs w:val="22"/>
              </w:rPr>
            </w:pPr>
            <w:r w:rsidRPr="004620D4">
              <w:rPr>
                <w:rFonts w:cs="Arial"/>
                <w:b/>
                <w:bCs/>
                <w:sz w:val="22"/>
                <w:szCs w:val="22"/>
              </w:rPr>
              <w:t>12,268,222</w:t>
            </w:r>
          </w:p>
        </w:tc>
        <w:tc>
          <w:tcPr>
            <w:tcW w:w="1326" w:type="dxa"/>
          </w:tcPr>
          <w:p w14:paraId="2AA72E31" w14:textId="36668DB0" w:rsidR="004620D4" w:rsidRPr="004620D4" w:rsidRDefault="004620D4" w:rsidP="004620D4">
            <w:pPr>
              <w:pStyle w:val="ListParagraph"/>
              <w:ind w:left="0"/>
              <w:jc w:val="right"/>
              <w:rPr>
                <w:rFonts w:cs="Arial"/>
                <w:b/>
                <w:bCs/>
                <w:sz w:val="22"/>
                <w:szCs w:val="22"/>
              </w:rPr>
            </w:pPr>
            <w:r w:rsidRPr="004620D4">
              <w:rPr>
                <w:rFonts w:cs="Arial"/>
                <w:b/>
                <w:bCs/>
                <w:sz w:val="22"/>
                <w:szCs w:val="22"/>
              </w:rPr>
              <w:t>1,915,000</w:t>
            </w:r>
          </w:p>
        </w:tc>
        <w:tc>
          <w:tcPr>
            <w:tcW w:w="1318" w:type="dxa"/>
          </w:tcPr>
          <w:p w14:paraId="6AA3E58A" w14:textId="70E97146" w:rsidR="004620D4" w:rsidRPr="004620D4" w:rsidRDefault="004620D4" w:rsidP="004620D4">
            <w:pPr>
              <w:pStyle w:val="ListParagraph"/>
              <w:ind w:left="0"/>
              <w:jc w:val="right"/>
              <w:rPr>
                <w:rFonts w:cs="Arial"/>
                <w:b/>
                <w:bCs/>
                <w:sz w:val="22"/>
                <w:szCs w:val="22"/>
              </w:rPr>
            </w:pPr>
            <w:r w:rsidRPr="004620D4">
              <w:rPr>
                <w:rFonts w:cs="Arial"/>
                <w:b/>
                <w:bCs/>
                <w:sz w:val="22"/>
                <w:szCs w:val="22"/>
              </w:rPr>
              <w:t>14,183,222</w:t>
            </w:r>
          </w:p>
        </w:tc>
      </w:tr>
      <w:tr w:rsidR="004620D4" w:rsidRPr="004620D4" w14:paraId="53F8E2EF" w14:textId="77777777" w:rsidTr="009A5849">
        <w:tc>
          <w:tcPr>
            <w:tcW w:w="9019" w:type="dxa"/>
            <w:gridSpan w:val="4"/>
          </w:tcPr>
          <w:p w14:paraId="1F7E8674" w14:textId="13365492" w:rsidR="004620D4" w:rsidRPr="004620D4" w:rsidRDefault="004620D4" w:rsidP="004620D4">
            <w:pPr>
              <w:pStyle w:val="ListParagraph"/>
              <w:ind w:left="0"/>
              <w:rPr>
                <w:rFonts w:cs="Arial"/>
                <w:b/>
                <w:bCs/>
                <w:sz w:val="22"/>
                <w:szCs w:val="22"/>
              </w:rPr>
            </w:pPr>
            <w:r w:rsidRPr="004620D4">
              <w:rPr>
                <w:rFonts w:cs="Arial"/>
                <w:b/>
                <w:bCs/>
                <w:sz w:val="22"/>
                <w:szCs w:val="22"/>
              </w:rPr>
              <w:t>Budget Re-profile:</w:t>
            </w:r>
          </w:p>
        </w:tc>
      </w:tr>
      <w:tr w:rsidR="004620D4" w:rsidRPr="004620D4" w14:paraId="14AE552C" w14:textId="77777777" w:rsidTr="004620D4">
        <w:tc>
          <w:tcPr>
            <w:tcW w:w="5057" w:type="dxa"/>
          </w:tcPr>
          <w:p w14:paraId="0E26E004" w14:textId="350F864F" w:rsidR="004620D4" w:rsidRPr="004620D4" w:rsidRDefault="004620D4" w:rsidP="00B512DC">
            <w:pPr>
              <w:pStyle w:val="ListParagraph"/>
              <w:ind w:left="0"/>
              <w:rPr>
                <w:rFonts w:cs="Arial"/>
                <w:sz w:val="22"/>
                <w:szCs w:val="22"/>
              </w:rPr>
            </w:pPr>
            <w:r w:rsidRPr="004620D4">
              <w:rPr>
                <w:rFonts w:cs="Arial"/>
                <w:sz w:val="22"/>
                <w:szCs w:val="22"/>
              </w:rPr>
              <w:t>Grange Farm Phase 2 – private homes</w:t>
            </w:r>
          </w:p>
        </w:tc>
        <w:tc>
          <w:tcPr>
            <w:tcW w:w="1318" w:type="dxa"/>
          </w:tcPr>
          <w:p w14:paraId="046CB03B" w14:textId="77777777" w:rsidR="004620D4" w:rsidRPr="004620D4" w:rsidRDefault="004620D4" w:rsidP="004620D4">
            <w:pPr>
              <w:pStyle w:val="ListParagraph"/>
              <w:ind w:left="0"/>
              <w:jc w:val="right"/>
              <w:rPr>
                <w:rFonts w:cs="Arial"/>
                <w:sz w:val="22"/>
                <w:szCs w:val="22"/>
              </w:rPr>
            </w:pPr>
          </w:p>
        </w:tc>
        <w:tc>
          <w:tcPr>
            <w:tcW w:w="1326" w:type="dxa"/>
          </w:tcPr>
          <w:p w14:paraId="58B17271" w14:textId="77777777" w:rsidR="004620D4" w:rsidRPr="004620D4" w:rsidRDefault="004620D4" w:rsidP="004620D4">
            <w:pPr>
              <w:pStyle w:val="ListParagraph"/>
              <w:ind w:left="0"/>
              <w:jc w:val="right"/>
              <w:rPr>
                <w:rFonts w:cs="Arial"/>
                <w:sz w:val="22"/>
                <w:szCs w:val="22"/>
              </w:rPr>
            </w:pPr>
          </w:p>
        </w:tc>
        <w:tc>
          <w:tcPr>
            <w:tcW w:w="1318" w:type="dxa"/>
          </w:tcPr>
          <w:p w14:paraId="2A803CEF" w14:textId="5E987F15" w:rsidR="004620D4" w:rsidRPr="004620D4" w:rsidRDefault="004620D4" w:rsidP="004620D4">
            <w:pPr>
              <w:pStyle w:val="ListParagraph"/>
              <w:ind w:left="0"/>
              <w:jc w:val="right"/>
              <w:rPr>
                <w:rFonts w:cs="Arial"/>
                <w:sz w:val="22"/>
                <w:szCs w:val="22"/>
              </w:rPr>
            </w:pPr>
            <w:r w:rsidRPr="004620D4">
              <w:rPr>
                <w:rFonts w:cs="Arial"/>
                <w:sz w:val="22"/>
                <w:szCs w:val="22"/>
              </w:rPr>
              <w:t>9,905,000</w:t>
            </w:r>
          </w:p>
        </w:tc>
      </w:tr>
      <w:tr w:rsidR="004620D4" w:rsidRPr="004620D4" w14:paraId="658EA8FD" w14:textId="77777777" w:rsidTr="004620D4">
        <w:tc>
          <w:tcPr>
            <w:tcW w:w="5057" w:type="dxa"/>
          </w:tcPr>
          <w:p w14:paraId="7F06433C" w14:textId="40EE3565" w:rsidR="004620D4" w:rsidRPr="004620D4" w:rsidRDefault="004620D4" w:rsidP="00B512DC">
            <w:pPr>
              <w:pStyle w:val="ListParagraph"/>
              <w:ind w:left="0"/>
              <w:rPr>
                <w:rFonts w:cs="Arial"/>
                <w:sz w:val="22"/>
                <w:szCs w:val="22"/>
              </w:rPr>
            </w:pPr>
            <w:r w:rsidRPr="004620D4">
              <w:rPr>
                <w:rFonts w:cs="Arial"/>
                <w:sz w:val="22"/>
                <w:szCs w:val="22"/>
              </w:rPr>
              <w:t>Grange Farm Phase 3 – design &amp; planning private homes</w:t>
            </w:r>
          </w:p>
        </w:tc>
        <w:tc>
          <w:tcPr>
            <w:tcW w:w="1318" w:type="dxa"/>
          </w:tcPr>
          <w:p w14:paraId="2E4E553A" w14:textId="77777777" w:rsidR="004620D4" w:rsidRPr="004620D4" w:rsidRDefault="004620D4" w:rsidP="004620D4">
            <w:pPr>
              <w:pStyle w:val="ListParagraph"/>
              <w:ind w:left="0"/>
              <w:jc w:val="right"/>
              <w:rPr>
                <w:rFonts w:cs="Arial"/>
                <w:sz w:val="22"/>
                <w:szCs w:val="22"/>
              </w:rPr>
            </w:pPr>
          </w:p>
        </w:tc>
        <w:tc>
          <w:tcPr>
            <w:tcW w:w="1326" w:type="dxa"/>
          </w:tcPr>
          <w:p w14:paraId="0E285270" w14:textId="77777777" w:rsidR="004620D4" w:rsidRPr="004620D4" w:rsidRDefault="004620D4" w:rsidP="004620D4">
            <w:pPr>
              <w:pStyle w:val="ListParagraph"/>
              <w:ind w:left="0"/>
              <w:jc w:val="right"/>
              <w:rPr>
                <w:rFonts w:cs="Arial"/>
                <w:sz w:val="22"/>
                <w:szCs w:val="22"/>
              </w:rPr>
            </w:pPr>
          </w:p>
        </w:tc>
        <w:tc>
          <w:tcPr>
            <w:tcW w:w="1318" w:type="dxa"/>
          </w:tcPr>
          <w:p w14:paraId="3BEF474A" w14:textId="598AB8C5" w:rsidR="004620D4" w:rsidRPr="004620D4" w:rsidRDefault="004620D4" w:rsidP="004620D4">
            <w:pPr>
              <w:pStyle w:val="ListParagraph"/>
              <w:ind w:left="0"/>
              <w:jc w:val="right"/>
              <w:rPr>
                <w:rFonts w:cs="Arial"/>
                <w:sz w:val="22"/>
                <w:szCs w:val="22"/>
              </w:rPr>
            </w:pPr>
            <w:r w:rsidRPr="004620D4">
              <w:rPr>
                <w:rFonts w:cs="Arial"/>
                <w:sz w:val="22"/>
                <w:szCs w:val="22"/>
              </w:rPr>
              <w:t>830,000</w:t>
            </w:r>
          </w:p>
        </w:tc>
      </w:tr>
      <w:tr w:rsidR="004620D4" w:rsidRPr="004620D4" w14:paraId="11420469" w14:textId="77777777" w:rsidTr="004620D4">
        <w:tc>
          <w:tcPr>
            <w:tcW w:w="5057" w:type="dxa"/>
          </w:tcPr>
          <w:p w14:paraId="2CF5DA36" w14:textId="0E7FF4B7" w:rsidR="004620D4" w:rsidRPr="004620D4" w:rsidRDefault="004620D4" w:rsidP="00B512DC">
            <w:pPr>
              <w:pStyle w:val="ListParagraph"/>
              <w:ind w:left="0"/>
              <w:rPr>
                <w:rFonts w:cs="Arial"/>
                <w:sz w:val="22"/>
                <w:szCs w:val="22"/>
              </w:rPr>
            </w:pPr>
            <w:r w:rsidRPr="004620D4">
              <w:rPr>
                <w:rFonts w:cs="Arial"/>
                <w:sz w:val="22"/>
                <w:szCs w:val="22"/>
              </w:rPr>
              <w:t>Unallocated – Investment in 3 core sites</w:t>
            </w:r>
          </w:p>
        </w:tc>
        <w:tc>
          <w:tcPr>
            <w:tcW w:w="1318" w:type="dxa"/>
          </w:tcPr>
          <w:p w14:paraId="6EC11D76" w14:textId="77777777" w:rsidR="004620D4" w:rsidRPr="004620D4" w:rsidRDefault="004620D4" w:rsidP="004620D4">
            <w:pPr>
              <w:pStyle w:val="ListParagraph"/>
              <w:ind w:left="0"/>
              <w:jc w:val="right"/>
              <w:rPr>
                <w:rFonts w:cs="Arial"/>
                <w:sz w:val="22"/>
                <w:szCs w:val="22"/>
              </w:rPr>
            </w:pPr>
          </w:p>
        </w:tc>
        <w:tc>
          <w:tcPr>
            <w:tcW w:w="1326" w:type="dxa"/>
          </w:tcPr>
          <w:p w14:paraId="01941B87" w14:textId="77777777" w:rsidR="004620D4" w:rsidRPr="004620D4" w:rsidRDefault="004620D4" w:rsidP="004620D4">
            <w:pPr>
              <w:pStyle w:val="ListParagraph"/>
              <w:ind w:left="0"/>
              <w:jc w:val="right"/>
              <w:rPr>
                <w:rFonts w:cs="Arial"/>
                <w:sz w:val="22"/>
                <w:szCs w:val="22"/>
              </w:rPr>
            </w:pPr>
          </w:p>
        </w:tc>
        <w:tc>
          <w:tcPr>
            <w:tcW w:w="1318" w:type="dxa"/>
          </w:tcPr>
          <w:p w14:paraId="29F0ADA3" w14:textId="2CD57387" w:rsidR="004620D4" w:rsidRPr="004620D4" w:rsidRDefault="004620D4" w:rsidP="004620D4">
            <w:pPr>
              <w:pStyle w:val="ListParagraph"/>
              <w:ind w:left="0"/>
              <w:jc w:val="right"/>
              <w:rPr>
                <w:rFonts w:cs="Arial"/>
                <w:sz w:val="22"/>
                <w:szCs w:val="22"/>
              </w:rPr>
            </w:pPr>
            <w:r w:rsidRPr="004620D4">
              <w:rPr>
                <w:rFonts w:cs="Arial"/>
                <w:sz w:val="22"/>
                <w:szCs w:val="22"/>
              </w:rPr>
              <w:t>3,448,222</w:t>
            </w:r>
          </w:p>
        </w:tc>
      </w:tr>
      <w:tr w:rsidR="004620D4" w:rsidRPr="004620D4" w14:paraId="5CB0EC6F" w14:textId="77777777" w:rsidTr="004620D4">
        <w:tc>
          <w:tcPr>
            <w:tcW w:w="5057" w:type="dxa"/>
          </w:tcPr>
          <w:p w14:paraId="2CAFE5FB" w14:textId="649130B6" w:rsidR="004620D4" w:rsidRPr="004620D4" w:rsidRDefault="004620D4" w:rsidP="00B512DC">
            <w:pPr>
              <w:pStyle w:val="ListParagraph"/>
              <w:ind w:left="0"/>
              <w:rPr>
                <w:rFonts w:cs="Arial"/>
                <w:b/>
                <w:bCs/>
                <w:sz w:val="22"/>
                <w:szCs w:val="22"/>
              </w:rPr>
            </w:pPr>
            <w:r w:rsidRPr="004620D4">
              <w:rPr>
                <w:rFonts w:cs="Arial"/>
                <w:b/>
                <w:bCs/>
                <w:sz w:val="22"/>
                <w:szCs w:val="22"/>
              </w:rPr>
              <w:t>Total</w:t>
            </w:r>
          </w:p>
        </w:tc>
        <w:tc>
          <w:tcPr>
            <w:tcW w:w="1318" w:type="dxa"/>
          </w:tcPr>
          <w:p w14:paraId="7316A85B" w14:textId="77777777" w:rsidR="004620D4" w:rsidRPr="004620D4" w:rsidRDefault="004620D4" w:rsidP="004620D4">
            <w:pPr>
              <w:pStyle w:val="ListParagraph"/>
              <w:ind w:left="0"/>
              <w:jc w:val="right"/>
              <w:rPr>
                <w:rFonts w:cs="Arial"/>
                <w:b/>
                <w:bCs/>
                <w:sz w:val="22"/>
                <w:szCs w:val="22"/>
              </w:rPr>
            </w:pPr>
          </w:p>
        </w:tc>
        <w:tc>
          <w:tcPr>
            <w:tcW w:w="1326" w:type="dxa"/>
          </w:tcPr>
          <w:p w14:paraId="4745AF45" w14:textId="77777777" w:rsidR="004620D4" w:rsidRPr="004620D4" w:rsidRDefault="004620D4" w:rsidP="004620D4">
            <w:pPr>
              <w:pStyle w:val="ListParagraph"/>
              <w:ind w:left="0"/>
              <w:jc w:val="right"/>
              <w:rPr>
                <w:rFonts w:cs="Arial"/>
                <w:b/>
                <w:bCs/>
                <w:sz w:val="22"/>
                <w:szCs w:val="22"/>
              </w:rPr>
            </w:pPr>
          </w:p>
        </w:tc>
        <w:tc>
          <w:tcPr>
            <w:tcW w:w="1318" w:type="dxa"/>
          </w:tcPr>
          <w:p w14:paraId="5761C434" w14:textId="31A27476" w:rsidR="004620D4" w:rsidRPr="004620D4" w:rsidRDefault="004620D4" w:rsidP="004620D4">
            <w:pPr>
              <w:pStyle w:val="ListParagraph"/>
              <w:ind w:left="0"/>
              <w:jc w:val="right"/>
              <w:rPr>
                <w:rFonts w:cs="Arial"/>
                <w:b/>
                <w:bCs/>
                <w:sz w:val="22"/>
                <w:szCs w:val="22"/>
              </w:rPr>
            </w:pPr>
            <w:r w:rsidRPr="004620D4">
              <w:rPr>
                <w:rFonts w:cs="Arial"/>
                <w:b/>
                <w:bCs/>
                <w:sz w:val="22"/>
                <w:szCs w:val="22"/>
              </w:rPr>
              <w:t>14,183,222</w:t>
            </w:r>
          </w:p>
        </w:tc>
      </w:tr>
    </w:tbl>
    <w:p w14:paraId="180ECDDE" w14:textId="77777777" w:rsidR="003A08EA" w:rsidRDefault="003A08EA" w:rsidP="003A08EA">
      <w:pPr>
        <w:pStyle w:val="ListParagraph"/>
        <w:tabs>
          <w:tab w:val="left" w:pos="142"/>
          <w:tab w:val="left" w:pos="284"/>
          <w:tab w:val="left" w:pos="709"/>
        </w:tabs>
        <w:ind w:left="709"/>
        <w:jc w:val="both"/>
        <w:rPr>
          <w:rFonts w:cs="Arial"/>
          <w:b/>
          <w:bCs/>
          <w:szCs w:val="24"/>
        </w:rPr>
      </w:pPr>
    </w:p>
    <w:p w14:paraId="5FF9275E" w14:textId="77777777" w:rsidR="00215E93" w:rsidRPr="00215E93" w:rsidRDefault="00215E93" w:rsidP="00215E93">
      <w:pPr>
        <w:pStyle w:val="ListParagraph"/>
        <w:tabs>
          <w:tab w:val="left" w:pos="142"/>
          <w:tab w:val="left" w:pos="284"/>
          <w:tab w:val="left" w:pos="709"/>
        </w:tabs>
        <w:ind w:left="709"/>
        <w:jc w:val="both"/>
        <w:rPr>
          <w:rFonts w:cs="Arial"/>
          <w:szCs w:val="24"/>
        </w:rPr>
      </w:pPr>
      <w:bookmarkStart w:id="6" w:name="_Hlk143503285"/>
    </w:p>
    <w:p w14:paraId="130D2937" w14:textId="6954A661" w:rsidR="00215E93" w:rsidRDefault="00215E93" w:rsidP="00215E93">
      <w:pPr>
        <w:pStyle w:val="ListParagraph"/>
        <w:numPr>
          <w:ilvl w:val="1"/>
          <w:numId w:val="16"/>
        </w:numPr>
        <w:tabs>
          <w:tab w:val="left" w:pos="142"/>
          <w:tab w:val="left" w:pos="284"/>
          <w:tab w:val="left" w:pos="709"/>
        </w:tabs>
        <w:ind w:left="709" w:hanging="709"/>
        <w:jc w:val="both"/>
        <w:rPr>
          <w:rFonts w:cs="Arial"/>
          <w:b/>
          <w:bCs/>
          <w:szCs w:val="24"/>
        </w:rPr>
      </w:pPr>
      <w:r>
        <w:rPr>
          <w:rFonts w:cs="Arial"/>
          <w:b/>
          <w:bCs/>
          <w:szCs w:val="24"/>
        </w:rPr>
        <w:t>Local Authority Housing Fund Round 2 (LAHF R2) £2,400,000 - addition</w:t>
      </w:r>
    </w:p>
    <w:bookmarkEnd w:id="6"/>
    <w:p w14:paraId="7AF2D1E2" w14:textId="42845653" w:rsidR="00215E93" w:rsidRDefault="00215E93" w:rsidP="00215E93">
      <w:pPr>
        <w:pStyle w:val="ListParagraph"/>
        <w:tabs>
          <w:tab w:val="left" w:pos="142"/>
          <w:tab w:val="left" w:pos="284"/>
          <w:tab w:val="left" w:pos="709"/>
        </w:tabs>
        <w:ind w:left="709"/>
        <w:jc w:val="both"/>
        <w:rPr>
          <w:rFonts w:cs="Arial"/>
          <w:szCs w:val="24"/>
        </w:rPr>
      </w:pPr>
      <w:r>
        <w:rPr>
          <w:rFonts w:cs="Arial"/>
          <w:szCs w:val="24"/>
        </w:rPr>
        <w:t xml:space="preserve">The Council has received £2.4m from the LAHF R2 from DLUCH to be used to provide at a minimum 10 homes to accommodate Afghans currently in or exiting bridging accommodation, and the rest used to ease existing homelessness pressures. The grant equates to 40% of the total capital cost plus £20,000 per property to account for other costs including </w:t>
      </w:r>
      <w:proofErr w:type="spellStart"/>
      <w:r>
        <w:rPr>
          <w:rFonts w:cs="Arial"/>
          <w:szCs w:val="24"/>
        </w:rPr>
        <w:t>refurbishement</w:t>
      </w:r>
      <w:proofErr w:type="spellEnd"/>
      <w:r>
        <w:rPr>
          <w:rFonts w:cs="Arial"/>
          <w:szCs w:val="24"/>
        </w:rPr>
        <w:t xml:space="preserve"> (£240,000). The 60% is to be match funded via the </w:t>
      </w:r>
      <w:proofErr w:type="spellStart"/>
      <w:r>
        <w:rPr>
          <w:rFonts w:cs="Arial"/>
          <w:szCs w:val="24"/>
        </w:rPr>
        <w:t>Counci</w:t>
      </w:r>
      <w:proofErr w:type="spellEnd"/>
      <w:r>
        <w:rPr>
          <w:rFonts w:cs="Arial"/>
          <w:szCs w:val="24"/>
        </w:rPr>
        <w:t xml:space="preserve">. The grant is to provide a minimum of 3 homes for the resettlement element </w:t>
      </w:r>
      <w:proofErr w:type="spellStart"/>
      <w:r>
        <w:rPr>
          <w:rFonts w:cs="Arial"/>
          <w:szCs w:val="24"/>
        </w:rPr>
        <w:t>ie</w:t>
      </w:r>
      <w:proofErr w:type="spellEnd"/>
      <w:r>
        <w:rPr>
          <w:rFonts w:cs="Arial"/>
          <w:szCs w:val="24"/>
        </w:rPr>
        <w:t xml:space="preserve"> permanent homes (via HRA) and a minimum of 7 homes for the TA element (via General Fund). The grant is to be spent in 2023-24.</w:t>
      </w:r>
    </w:p>
    <w:p w14:paraId="69F08FB5" w14:textId="57BD1057" w:rsidR="00215E93" w:rsidRDefault="00215E93" w:rsidP="00215E93">
      <w:pPr>
        <w:pStyle w:val="ListParagraph"/>
        <w:tabs>
          <w:tab w:val="left" w:pos="142"/>
          <w:tab w:val="left" w:pos="284"/>
          <w:tab w:val="left" w:pos="709"/>
        </w:tabs>
        <w:ind w:left="709"/>
        <w:jc w:val="both"/>
        <w:rPr>
          <w:rFonts w:cs="Arial"/>
          <w:szCs w:val="24"/>
        </w:rPr>
      </w:pPr>
    </w:p>
    <w:p w14:paraId="0B28D0AC" w14:textId="0995F0D0" w:rsidR="00215E93" w:rsidRDefault="00215E93" w:rsidP="00215E93">
      <w:pPr>
        <w:pStyle w:val="ListParagraph"/>
        <w:tabs>
          <w:tab w:val="left" w:pos="142"/>
          <w:tab w:val="left" w:pos="284"/>
          <w:tab w:val="left" w:pos="709"/>
        </w:tabs>
        <w:ind w:left="709"/>
        <w:jc w:val="both"/>
        <w:rPr>
          <w:rFonts w:cs="Arial"/>
          <w:szCs w:val="24"/>
        </w:rPr>
      </w:pPr>
      <w:r>
        <w:rPr>
          <w:rFonts w:cs="Arial"/>
          <w:szCs w:val="24"/>
        </w:rPr>
        <w:t>The grant is to be allocated as follows:</w:t>
      </w:r>
    </w:p>
    <w:p w14:paraId="610F7464" w14:textId="77777777" w:rsidR="00FC57FC" w:rsidRDefault="00215E93" w:rsidP="00FC57FC">
      <w:pPr>
        <w:pStyle w:val="ListParagraph"/>
        <w:numPr>
          <w:ilvl w:val="0"/>
          <w:numId w:val="29"/>
        </w:numPr>
        <w:tabs>
          <w:tab w:val="left" w:pos="142"/>
          <w:tab w:val="left" w:pos="284"/>
          <w:tab w:val="left" w:pos="709"/>
        </w:tabs>
        <w:jc w:val="both"/>
        <w:rPr>
          <w:rFonts w:cs="Arial"/>
          <w:szCs w:val="24"/>
        </w:rPr>
      </w:pPr>
      <w:r>
        <w:rPr>
          <w:rFonts w:cs="Arial"/>
          <w:szCs w:val="24"/>
        </w:rPr>
        <w:t xml:space="preserve">HRA Capital Programme £730,000 addition. </w:t>
      </w:r>
    </w:p>
    <w:p w14:paraId="4FC6339A" w14:textId="59099E6C" w:rsidR="00215E93" w:rsidRPr="00FC57FC" w:rsidRDefault="00215E93" w:rsidP="00FC57FC">
      <w:pPr>
        <w:pStyle w:val="ListParagraph"/>
        <w:numPr>
          <w:ilvl w:val="0"/>
          <w:numId w:val="29"/>
        </w:numPr>
        <w:tabs>
          <w:tab w:val="left" w:pos="142"/>
          <w:tab w:val="left" w:pos="284"/>
          <w:tab w:val="left" w:pos="709"/>
        </w:tabs>
        <w:jc w:val="both"/>
        <w:rPr>
          <w:rFonts w:cs="Arial"/>
          <w:szCs w:val="24"/>
        </w:rPr>
      </w:pPr>
      <w:r w:rsidRPr="00FC57FC">
        <w:rPr>
          <w:rFonts w:cs="Arial"/>
          <w:szCs w:val="24"/>
        </w:rPr>
        <w:t xml:space="preserve">General Fund Capital Programme £1,670,000 Property </w:t>
      </w:r>
      <w:proofErr w:type="spellStart"/>
      <w:r w:rsidRPr="00FC57FC">
        <w:rPr>
          <w:rFonts w:cs="Arial"/>
          <w:szCs w:val="24"/>
        </w:rPr>
        <w:t>Acquisiton</w:t>
      </w:r>
      <w:proofErr w:type="spellEnd"/>
      <w:r w:rsidRPr="00FC57FC">
        <w:rPr>
          <w:rFonts w:cs="Arial"/>
          <w:szCs w:val="24"/>
        </w:rPr>
        <w:t xml:space="preserve"> Programme.</w:t>
      </w:r>
    </w:p>
    <w:p w14:paraId="54D2113D" w14:textId="77777777" w:rsidR="00215E93" w:rsidRPr="00215E93" w:rsidRDefault="00215E93" w:rsidP="00215E93">
      <w:pPr>
        <w:pStyle w:val="ListParagraph"/>
        <w:tabs>
          <w:tab w:val="left" w:pos="142"/>
          <w:tab w:val="left" w:pos="284"/>
          <w:tab w:val="left" w:pos="709"/>
        </w:tabs>
        <w:ind w:left="709"/>
        <w:jc w:val="both"/>
        <w:rPr>
          <w:rFonts w:cs="Arial"/>
          <w:szCs w:val="24"/>
        </w:rPr>
      </w:pPr>
    </w:p>
    <w:p w14:paraId="0EFB063D" w14:textId="0AE0013C" w:rsidR="00215E93" w:rsidRPr="008C60C1" w:rsidRDefault="00FC57FC" w:rsidP="00FC57FC">
      <w:pPr>
        <w:tabs>
          <w:tab w:val="left" w:pos="142"/>
          <w:tab w:val="left" w:pos="284"/>
          <w:tab w:val="left" w:pos="709"/>
        </w:tabs>
        <w:ind w:left="709"/>
        <w:jc w:val="both"/>
        <w:rPr>
          <w:rFonts w:cs="Arial"/>
          <w:szCs w:val="24"/>
        </w:rPr>
      </w:pPr>
      <w:r>
        <w:rPr>
          <w:rFonts w:cs="Arial"/>
          <w:szCs w:val="24"/>
        </w:rPr>
        <w:tab/>
      </w:r>
      <w:r w:rsidR="008C60C1">
        <w:rPr>
          <w:rFonts w:cs="Arial"/>
          <w:szCs w:val="24"/>
        </w:rPr>
        <w:t>S106 match funding</w:t>
      </w:r>
      <w:r>
        <w:rPr>
          <w:rFonts w:cs="Arial"/>
          <w:szCs w:val="24"/>
        </w:rPr>
        <w:t xml:space="preserve"> is required </w:t>
      </w:r>
      <w:r w:rsidR="00DA235A">
        <w:rPr>
          <w:rFonts w:cs="Arial"/>
          <w:szCs w:val="24"/>
        </w:rPr>
        <w:t>t</w:t>
      </w:r>
      <w:r>
        <w:rPr>
          <w:rFonts w:cs="Arial"/>
          <w:szCs w:val="24"/>
        </w:rPr>
        <w:t xml:space="preserve">o support the delivery </w:t>
      </w:r>
      <w:r w:rsidR="008C60C1">
        <w:rPr>
          <w:rFonts w:cs="Arial"/>
          <w:szCs w:val="24"/>
        </w:rPr>
        <w:t xml:space="preserve">of </w:t>
      </w:r>
      <w:r>
        <w:rPr>
          <w:rFonts w:cs="Arial"/>
          <w:szCs w:val="24"/>
        </w:rPr>
        <w:t xml:space="preserve">the </w:t>
      </w:r>
      <w:r w:rsidR="008C60C1">
        <w:rPr>
          <w:rFonts w:cs="Arial"/>
          <w:szCs w:val="24"/>
        </w:rPr>
        <w:t>LAHF</w:t>
      </w:r>
      <w:r>
        <w:rPr>
          <w:rFonts w:cs="Arial"/>
          <w:szCs w:val="24"/>
        </w:rPr>
        <w:t xml:space="preserve"> Round 2 funding and therefore an addition of £1,017,500 is required to the HRA Capital Programme from S106 funding.</w:t>
      </w:r>
    </w:p>
    <w:p w14:paraId="442D25BA" w14:textId="77777777" w:rsidR="00215E93" w:rsidRDefault="00215E93" w:rsidP="00215E93">
      <w:pPr>
        <w:pStyle w:val="ListParagraph"/>
        <w:tabs>
          <w:tab w:val="left" w:pos="142"/>
          <w:tab w:val="left" w:pos="284"/>
          <w:tab w:val="left" w:pos="709"/>
        </w:tabs>
        <w:ind w:left="709"/>
        <w:jc w:val="both"/>
        <w:rPr>
          <w:rFonts w:cs="Arial"/>
          <w:b/>
          <w:bCs/>
          <w:szCs w:val="24"/>
        </w:rPr>
      </w:pPr>
    </w:p>
    <w:p w14:paraId="33D47B20" w14:textId="4F2B1E10" w:rsidR="00B512DC" w:rsidRPr="00E918E2" w:rsidRDefault="00B512DC" w:rsidP="00B512DC">
      <w:pPr>
        <w:pStyle w:val="ListParagraph"/>
        <w:numPr>
          <w:ilvl w:val="1"/>
          <w:numId w:val="16"/>
        </w:numPr>
        <w:tabs>
          <w:tab w:val="left" w:pos="142"/>
          <w:tab w:val="left" w:pos="284"/>
          <w:tab w:val="left" w:pos="709"/>
        </w:tabs>
        <w:ind w:left="709" w:hanging="709"/>
        <w:jc w:val="both"/>
        <w:rPr>
          <w:rFonts w:cs="Arial"/>
          <w:b/>
          <w:bCs/>
          <w:szCs w:val="24"/>
        </w:rPr>
      </w:pPr>
      <w:r>
        <w:rPr>
          <w:rFonts w:cs="Arial"/>
          <w:b/>
          <w:bCs/>
          <w:szCs w:val="24"/>
        </w:rPr>
        <w:t>Depot Redevelopment £798k</w:t>
      </w:r>
      <w:r w:rsidRPr="00E918E2">
        <w:rPr>
          <w:rFonts w:cs="Arial"/>
          <w:b/>
          <w:bCs/>
          <w:szCs w:val="24"/>
        </w:rPr>
        <w:t xml:space="preserve"> - </w:t>
      </w:r>
      <w:r>
        <w:rPr>
          <w:rFonts w:cs="Arial"/>
          <w:b/>
          <w:bCs/>
          <w:szCs w:val="24"/>
        </w:rPr>
        <w:t>virement</w:t>
      </w:r>
    </w:p>
    <w:p w14:paraId="166715AC" w14:textId="30C17945" w:rsidR="00B512DC" w:rsidRDefault="00B512DC" w:rsidP="00B512DC">
      <w:pPr>
        <w:tabs>
          <w:tab w:val="left" w:pos="142"/>
          <w:tab w:val="left" w:pos="284"/>
          <w:tab w:val="left" w:pos="709"/>
        </w:tabs>
        <w:ind w:left="709"/>
        <w:jc w:val="both"/>
        <w:rPr>
          <w:rFonts w:cs="Arial"/>
          <w:b/>
          <w:bCs/>
          <w:szCs w:val="24"/>
        </w:rPr>
      </w:pPr>
      <w:r>
        <w:rPr>
          <w:rFonts w:cs="Arial"/>
          <w:szCs w:val="24"/>
        </w:rPr>
        <w:t>The carried forward budget in the capital programme for the redevelopment of the depot is £2.322m. Of this, £798k is not committed to any expenditure. However</w:t>
      </w:r>
      <w:r w:rsidR="00550E7F">
        <w:rPr>
          <w:rFonts w:cs="Arial"/>
          <w:szCs w:val="24"/>
        </w:rPr>
        <w:t>,</w:t>
      </w:r>
      <w:r>
        <w:rPr>
          <w:rFonts w:cs="Arial"/>
          <w:szCs w:val="24"/>
        </w:rPr>
        <w:t xml:space="preserve"> it has been identified that £600k is required to fund the cost overrun on </w:t>
      </w:r>
      <w:proofErr w:type="spellStart"/>
      <w:r>
        <w:rPr>
          <w:rFonts w:cs="Arial"/>
          <w:szCs w:val="24"/>
        </w:rPr>
        <w:t>Pinnor</w:t>
      </w:r>
      <w:r w:rsidR="00550E7F">
        <w:rPr>
          <w:rFonts w:cs="Arial"/>
          <w:szCs w:val="24"/>
        </w:rPr>
        <w:t>a</w:t>
      </w:r>
      <w:proofErr w:type="spellEnd"/>
      <w:r>
        <w:rPr>
          <w:rFonts w:cs="Arial"/>
          <w:szCs w:val="24"/>
        </w:rPr>
        <w:t xml:space="preserve"> Mews (</w:t>
      </w:r>
      <w:proofErr w:type="spellStart"/>
      <w:r>
        <w:rPr>
          <w:rFonts w:cs="Arial"/>
          <w:szCs w:val="24"/>
        </w:rPr>
        <w:t>Waxwell</w:t>
      </w:r>
      <w:proofErr w:type="spellEnd"/>
      <w:r>
        <w:rPr>
          <w:rFonts w:cs="Arial"/>
          <w:szCs w:val="24"/>
        </w:rPr>
        <w:t xml:space="preserve"> Lane), leaving £198k for transfer to Other Schemes (Council Wide) held in Resources Directorate. Approval is therefore sought to complete these budget virements within the capital programme.</w:t>
      </w:r>
    </w:p>
    <w:p w14:paraId="1DDD1E2B" w14:textId="46DB16EF" w:rsidR="00B512DC" w:rsidRDefault="00B512DC" w:rsidP="002705A5">
      <w:pPr>
        <w:tabs>
          <w:tab w:val="left" w:pos="142"/>
          <w:tab w:val="left" w:pos="284"/>
          <w:tab w:val="left" w:pos="709"/>
        </w:tabs>
        <w:jc w:val="both"/>
        <w:rPr>
          <w:rFonts w:cs="Arial"/>
          <w:b/>
          <w:bCs/>
          <w:szCs w:val="24"/>
        </w:rPr>
      </w:pPr>
    </w:p>
    <w:p w14:paraId="5E0BBB52" w14:textId="77777777" w:rsidR="00B512DC" w:rsidRPr="002705A5" w:rsidRDefault="00B512DC" w:rsidP="002705A5">
      <w:pPr>
        <w:tabs>
          <w:tab w:val="left" w:pos="142"/>
          <w:tab w:val="left" w:pos="284"/>
          <w:tab w:val="left" w:pos="709"/>
        </w:tabs>
        <w:jc w:val="both"/>
        <w:rPr>
          <w:rFonts w:cs="Arial"/>
          <w:b/>
          <w:bCs/>
          <w:szCs w:val="24"/>
        </w:rPr>
      </w:pPr>
    </w:p>
    <w:p w14:paraId="521EA08D" w14:textId="45C1586A" w:rsidR="007C5702" w:rsidRPr="00E918E2" w:rsidRDefault="001C2ADC" w:rsidP="00AF06B3">
      <w:pPr>
        <w:pStyle w:val="ListParagraph"/>
        <w:numPr>
          <w:ilvl w:val="0"/>
          <w:numId w:val="5"/>
        </w:numPr>
        <w:tabs>
          <w:tab w:val="left" w:pos="567"/>
        </w:tabs>
        <w:ind w:left="567" w:hanging="567"/>
        <w:jc w:val="both"/>
        <w:rPr>
          <w:rFonts w:cs="Arial"/>
          <w:b/>
          <w:szCs w:val="24"/>
          <w:u w:val="single"/>
        </w:rPr>
      </w:pPr>
      <w:r w:rsidRPr="00BF6CCA">
        <w:rPr>
          <w:rFonts w:cs="Arial"/>
          <w:b/>
          <w:szCs w:val="24"/>
          <w:u w:val="single"/>
        </w:rPr>
        <w:t xml:space="preserve">COUNCIL TRADING STRUCTURE UPDATE </w:t>
      </w:r>
      <w:r w:rsidR="00542808" w:rsidRPr="00BF6CCA">
        <w:rPr>
          <w:rFonts w:cs="Arial"/>
          <w:b/>
          <w:szCs w:val="24"/>
          <w:u w:val="single"/>
        </w:rPr>
        <w:t>202</w:t>
      </w:r>
      <w:r w:rsidR="00BF6CCA" w:rsidRPr="00BF6CCA">
        <w:rPr>
          <w:rFonts w:cs="Arial"/>
          <w:b/>
          <w:szCs w:val="24"/>
          <w:u w:val="single"/>
        </w:rPr>
        <w:t>3-24</w:t>
      </w:r>
      <w:r w:rsidRPr="00BF6CCA">
        <w:rPr>
          <w:rFonts w:cs="Arial"/>
          <w:b/>
          <w:szCs w:val="24"/>
          <w:u w:val="single"/>
        </w:rPr>
        <w:t xml:space="preserve"> </w:t>
      </w:r>
    </w:p>
    <w:p w14:paraId="484B8B33" w14:textId="77777777" w:rsidR="00DD22D7" w:rsidRPr="00E918E2" w:rsidRDefault="00DD22D7" w:rsidP="00DD22D7">
      <w:pPr>
        <w:pStyle w:val="ListParagraph"/>
        <w:tabs>
          <w:tab w:val="left" w:pos="567"/>
        </w:tabs>
        <w:ind w:left="567"/>
        <w:jc w:val="both"/>
        <w:rPr>
          <w:rFonts w:cs="Arial"/>
          <w:b/>
          <w:szCs w:val="24"/>
          <w:u w:val="single"/>
        </w:rPr>
      </w:pPr>
    </w:p>
    <w:p w14:paraId="2651DDB3" w14:textId="69262375" w:rsidR="00A2107D" w:rsidRPr="00BF6CCA" w:rsidRDefault="007C5702" w:rsidP="00AF06B3">
      <w:pPr>
        <w:pStyle w:val="ListParagraph"/>
        <w:numPr>
          <w:ilvl w:val="1"/>
          <w:numId w:val="10"/>
        </w:numPr>
        <w:tabs>
          <w:tab w:val="left" w:pos="567"/>
        </w:tabs>
        <w:ind w:left="567" w:hanging="567"/>
        <w:jc w:val="both"/>
      </w:pPr>
      <w:r w:rsidRPr="00E918E2">
        <w:rPr>
          <w:rFonts w:cs="Arial"/>
          <w:szCs w:val="24"/>
        </w:rPr>
        <w:t>The</w:t>
      </w:r>
      <w:r w:rsidR="001C2ADC" w:rsidRPr="00E918E2">
        <w:rPr>
          <w:rFonts w:cs="Arial"/>
          <w:szCs w:val="24"/>
        </w:rPr>
        <w:t xml:space="preserve"> Council’s Trading Structure update is attached at Appendix </w:t>
      </w:r>
      <w:r w:rsidR="00F805C8" w:rsidRPr="00E918E2">
        <w:rPr>
          <w:rFonts w:cs="Arial"/>
          <w:szCs w:val="24"/>
        </w:rPr>
        <w:t>4</w:t>
      </w:r>
      <w:r w:rsidR="00E918E2" w:rsidRPr="00E918E2">
        <w:rPr>
          <w:rFonts w:cs="Arial"/>
          <w:szCs w:val="24"/>
        </w:rPr>
        <w:t xml:space="preserve"> and</w:t>
      </w:r>
      <w:r w:rsidR="002C5BD7" w:rsidRPr="00E918E2">
        <w:rPr>
          <w:rFonts w:cs="Arial"/>
          <w:szCs w:val="24"/>
        </w:rPr>
        <w:t xml:space="preserve"> summarises the financial position and provides a general update on the activities </w:t>
      </w:r>
      <w:r w:rsidR="002C5BD7" w:rsidRPr="00BF6CCA">
        <w:rPr>
          <w:rFonts w:cs="Arial"/>
          <w:szCs w:val="24"/>
        </w:rPr>
        <w:t>of all the Council’s trading entities.</w:t>
      </w:r>
    </w:p>
    <w:p w14:paraId="7C188A0C" w14:textId="71553502" w:rsidR="00333BDE" w:rsidRPr="00BF6CCA" w:rsidRDefault="00333BDE" w:rsidP="003634DA">
      <w:pPr>
        <w:pStyle w:val="ListParagraph"/>
        <w:tabs>
          <w:tab w:val="left" w:pos="567"/>
        </w:tabs>
        <w:ind w:left="567"/>
        <w:jc w:val="both"/>
        <w:rPr>
          <w:rFonts w:cs="Arial"/>
          <w:szCs w:val="24"/>
        </w:rPr>
      </w:pPr>
    </w:p>
    <w:p w14:paraId="6806E5E2" w14:textId="1E3DD3D7" w:rsidR="005641E0" w:rsidRPr="00BF6CCA" w:rsidRDefault="002C5BD7" w:rsidP="00AF06B3">
      <w:pPr>
        <w:pStyle w:val="ListParagraph"/>
        <w:numPr>
          <w:ilvl w:val="0"/>
          <w:numId w:val="5"/>
        </w:numPr>
        <w:ind w:left="567" w:hanging="567"/>
        <w:jc w:val="both"/>
        <w:rPr>
          <w:b/>
          <w:szCs w:val="24"/>
          <w:u w:val="single"/>
        </w:rPr>
      </w:pPr>
      <w:r w:rsidRPr="00BF6CCA">
        <w:rPr>
          <w:b/>
          <w:szCs w:val="24"/>
          <w:u w:val="single"/>
        </w:rPr>
        <w:t xml:space="preserve">REPORTING FOR THE </w:t>
      </w:r>
      <w:r w:rsidR="00542808" w:rsidRPr="00BF6CCA">
        <w:rPr>
          <w:b/>
          <w:szCs w:val="24"/>
          <w:u w:val="single"/>
        </w:rPr>
        <w:t>202</w:t>
      </w:r>
      <w:r w:rsidR="00BF6CCA" w:rsidRPr="00BF6CCA">
        <w:rPr>
          <w:b/>
          <w:szCs w:val="24"/>
          <w:u w:val="single"/>
        </w:rPr>
        <w:t>3-24</w:t>
      </w:r>
      <w:r w:rsidRPr="00BF6CCA">
        <w:rPr>
          <w:b/>
          <w:szCs w:val="24"/>
          <w:u w:val="single"/>
        </w:rPr>
        <w:t xml:space="preserve"> FINANCIAL YEAR</w:t>
      </w:r>
    </w:p>
    <w:p w14:paraId="3C11B41B" w14:textId="77777777" w:rsidR="002C5BD7" w:rsidRPr="00BF6CCA" w:rsidRDefault="002C5BD7" w:rsidP="00487CDB">
      <w:pPr>
        <w:jc w:val="both"/>
        <w:rPr>
          <w:b/>
          <w:szCs w:val="24"/>
          <w:u w:val="single"/>
        </w:rPr>
      </w:pPr>
    </w:p>
    <w:p w14:paraId="10EF8BD3" w14:textId="4E0B26A3" w:rsidR="005641E0" w:rsidRPr="00BF6CCA" w:rsidRDefault="004325F9" w:rsidP="00AF06B3">
      <w:pPr>
        <w:pStyle w:val="ListParagraph"/>
        <w:numPr>
          <w:ilvl w:val="1"/>
          <w:numId w:val="5"/>
        </w:numPr>
        <w:ind w:left="567" w:hanging="567"/>
        <w:jc w:val="both"/>
        <w:rPr>
          <w:szCs w:val="24"/>
        </w:rPr>
      </w:pPr>
      <w:r w:rsidRPr="00BF6CCA">
        <w:rPr>
          <w:szCs w:val="24"/>
        </w:rPr>
        <w:t>This</w:t>
      </w:r>
      <w:r w:rsidR="00F52080" w:rsidRPr="00BF6CCA">
        <w:rPr>
          <w:szCs w:val="24"/>
        </w:rPr>
        <w:t xml:space="preserve"> is the</w:t>
      </w:r>
      <w:r w:rsidR="00291123" w:rsidRPr="00BF6CCA">
        <w:rPr>
          <w:szCs w:val="24"/>
        </w:rPr>
        <w:t xml:space="preserve"> </w:t>
      </w:r>
      <w:r w:rsidR="000942BF" w:rsidRPr="00BF6CCA">
        <w:rPr>
          <w:szCs w:val="24"/>
        </w:rPr>
        <w:t>first</w:t>
      </w:r>
      <w:r w:rsidR="00F52080" w:rsidRPr="00BF6CCA">
        <w:rPr>
          <w:szCs w:val="24"/>
        </w:rPr>
        <w:t xml:space="preserve"> revenue and capital budget monitoring report for </w:t>
      </w:r>
      <w:r w:rsidR="00BF6CCA" w:rsidRPr="00BF6CCA">
        <w:rPr>
          <w:szCs w:val="24"/>
        </w:rPr>
        <w:t>2023-24</w:t>
      </w:r>
    </w:p>
    <w:p w14:paraId="6DFBFED9" w14:textId="77777777" w:rsidR="000942BF" w:rsidRPr="00BF6CCA" w:rsidRDefault="000942BF" w:rsidP="000942BF">
      <w:pPr>
        <w:pStyle w:val="ListParagraph"/>
        <w:ind w:left="567"/>
        <w:jc w:val="both"/>
        <w:rPr>
          <w:szCs w:val="24"/>
        </w:rPr>
      </w:pPr>
    </w:p>
    <w:p w14:paraId="78676874" w14:textId="58271275" w:rsidR="000942BF" w:rsidRPr="00BF6CCA" w:rsidRDefault="000942BF" w:rsidP="00AF06B3">
      <w:pPr>
        <w:pStyle w:val="ListParagraph"/>
        <w:numPr>
          <w:ilvl w:val="1"/>
          <w:numId w:val="5"/>
        </w:numPr>
        <w:ind w:left="567" w:hanging="567"/>
        <w:jc w:val="both"/>
        <w:rPr>
          <w:szCs w:val="24"/>
        </w:rPr>
      </w:pPr>
      <w:r w:rsidRPr="00BF6CCA">
        <w:rPr>
          <w:szCs w:val="24"/>
        </w:rPr>
        <w:t>Cabinet will receive quarterly monitoring reports during the year as follows:</w:t>
      </w:r>
    </w:p>
    <w:p w14:paraId="66A98429" w14:textId="5B713193" w:rsidR="000942BF" w:rsidRPr="00BF6CCA" w:rsidRDefault="000942BF" w:rsidP="00AF06B3">
      <w:pPr>
        <w:pStyle w:val="ListParagraph"/>
        <w:numPr>
          <w:ilvl w:val="2"/>
          <w:numId w:val="22"/>
        </w:numPr>
        <w:ind w:left="1418" w:hanging="567"/>
        <w:jc w:val="both"/>
        <w:rPr>
          <w:szCs w:val="24"/>
        </w:rPr>
      </w:pPr>
      <w:r w:rsidRPr="00BF6CCA">
        <w:rPr>
          <w:szCs w:val="24"/>
        </w:rPr>
        <w:t xml:space="preserve">Q2 Revenue &amp; Capital Monitoring – </w:t>
      </w:r>
      <w:r w:rsidR="001619BF" w:rsidRPr="00BF6CCA">
        <w:rPr>
          <w:szCs w:val="24"/>
        </w:rPr>
        <w:t>December 202</w:t>
      </w:r>
      <w:r w:rsidR="00BF6CCA" w:rsidRPr="00BF6CCA">
        <w:rPr>
          <w:szCs w:val="24"/>
        </w:rPr>
        <w:t>3</w:t>
      </w:r>
    </w:p>
    <w:p w14:paraId="0029A18B" w14:textId="14EE7BC1" w:rsidR="000942BF" w:rsidRPr="00BF6CCA" w:rsidRDefault="000942BF" w:rsidP="00AF06B3">
      <w:pPr>
        <w:pStyle w:val="ListParagraph"/>
        <w:numPr>
          <w:ilvl w:val="2"/>
          <w:numId w:val="22"/>
        </w:numPr>
        <w:ind w:left="1418" w:hanging="567"/>
        <w:jc w:val="both"/>
        <w:rPr>
          <w:szCs w:val="24"/>
        </w:rPr>
      </w:pPr>
      <w:r w:rsidRPr="00BF6CCA">
        <w:rPr>
          <w:szCs w:val="24"/>
        </w:rPr>
        <w:t xml:space="preserve">Q3 Revenue &amp; Capital Monitoring – </w:t>
      </w:r>
      <w:r w:rsidR="001619BF" w:rsidRPr="00BF6CCA">
        <w:rPr>
          <w:szCs w:val="24"/>
        </w:rPr>
        <w:t>February 202</w:t>
      </w:r>
      <w:r w:rsidR="00BF6CCA" w:rsidRPr="00BF6CCA">
        <w:rPr>
          <w:szCs w:val="24"/>
        </w:rPr>
        <w:t>4</w:t>
      </w:r>
    </w:p>
    <w:p w14:paraId="0937E783" w14:textId="6A8DF82C" w:rsidR="000942BF" w:rsidRPr="00BF6CCA" w:rsidRDefault="000942BF" w:rsidP="00AF06B3">
      <w:pPr>
        <w:pStyle w:val="ListParagraph"/>
        <w:numPr>
          <w:ilvl w:val="2"/>
          <w:numId w:val="22"/>
        </w:numPr>
        <w:ind w:left="1418" w:hanging="567"/>
        <w:jc w:val="both"/>
        <w:rPr>
          <w:szCs w:val="24"/>
        </w:rPr>
      </w:pPr>
      <w:r w:rsidRPr="00BF6CCA">
        <w:rPr>
          <w:szCs w:val="24"/>
        </w:rPr>
        <w:t>Q4/Final Revenue &amp; Capital Monitoring – July 202</w:t>
      </w:r>
      <w:r w:rsidR="00BF6CCA" w:rsidRPr="00BF6CCA">
        <w:rPr>
          <w:szCs w:val="24"/>
        </w:rPr>
        <w:t>4</w:t>
      </w:r>
    </w:p>
    <w:p w14:paraId="601140E8" w14:textId="77777777" w:rsidR="000942BF" w:rsidRPr="00BF6CCA" w:rsidRDefault="000942BF" w:rsidP="000942BF">
      <w:pPr>
        <w:pStyle w:val="ListParagraph"/>
        <w:ind w:left="1364"/>
        <w:jc w:val="both"/>
        <w:rPr>
          <w:szCs w:val="24"/>
        </w:rPr>
      </w:pPr>
    </w:p>
    <w:p w14:paraId="6963CCA6" w14:textId="31F612B0" w:rsidR="00333FAA" w:rsidRPr="00BF6CCA" w:rsidRDefault="00BC74D1" w:rsidP="006A200B">
      <w:pPr>
        <w:pStyle w:val="Heading2"/>
        <w:ind w:left="567" w:hanging="567"/>
        <w:jc w:val="both"/>
        <w:rPr>
          <w:sz w:val="24"/>
          <w:szCs w:val="24"/>
        </w:rPr>
      </w:pPr>
      <w:r w:rsidRPr="00BF6CCA">
        <w:rPr>
          <w:b w:val="0"/>
          <w:sz w:val="24"/>
          <w:szCs w:val="24"/>
        </w:rPr>
        <w:t>6</w:t>
      </w:r>
      <w:r w:rsidR="004C0103" w:rsidRPr="00BF6CCA">
        <w:rPr>
          <w:b w:val="0"/>
          <w:sz w:val="24"/>
          <w:szCs w:val="24"/>
        </w:rPr>
        <w:t>.0</w:t>
      </w:r>
      <w:r w:rsidR="00A80770" w:rsidRPr="00BF6CCA">
        <w:rPr>
          <w:sz w:val="24"/>
          <w:szCs w:val="24"/>
        </w:rPr>
        <w:t xml:space="preserve">    </w:t>
      </w:r>
      <w:r w:rsidR="00333FAA" w:rsidRPr="00BF6CCA">
        <w:rPr>
          <w:sz w:val="24"/>
          <w:szCs w:val="24"/>
        </w:rPr>
        <w:t>Implications of the Recommendation</w:t>
      </w:r>
    </w:p>
    <w:p w14:paraId="34AEEF65" w14:textId="4837C5E0" w:rsidR="005641E0" w:rsidRPr="00BF6CCA" w:rsidRDefault="00A80770" w:rsidP="002E1DF4">
      <w:pPr>
        <w:ind w:left="709" w:hanging="709"/>
        <w:jc w:val="both"/>
        <w:rPr>
          <w:szCs w:val="24"/>
        </w:rPr>
      </w:pPr>
      <w:r w:rsidRPr="00BF6CCA">
        <w:rPr>
          <w:b/>
          <w:szCs w:val="24"/>
        </w:rPr>
        <w:t xml:space="preserve">         </w:t>
      </w:r>
      <w:r w:rsidR="006D3BD9" w:rsidRPr="00BF6CCA">
        <w:rPr>
          <w:szCs w:val="24"/>
        </w:rPr>
        <w:t>Implications of recommendation are set out in the body of this report.</w:t>
      </w:r>
    </w:p>
    <w:p w14:paraId="3622CF88" w14:textId="42247660" w:rsidR="00955421" w:rsidRPr="00BF6CCA" w:rsidRDefault="00955421" w:rsidP="00AF66F2">
      <w:pPr>
        <w:jc w:val="both"/>
        <w:rPr>
          <w:b/>
          <w:szCs w:val="24"/>
        </w:rPr>
      </w:pPr>
    </w:p>
    <w:p w14:paraId="70806613" w14:textId="63292056" w:rsidR="00333FAA" w:rsidRPr="00BF6CCA" w:rsidRDefault="00BC74D1" w:rsidP="003634DA">
      <w:pPr>
        <w:pStyle w:val="Heading4"/>
        <w:tabs>
          <w:tab w:val="left" w:pos="567"/>
        </w:tabs>
        <w:jc w:val="both"/>
        <w:rPr>
          <w:szCs w:val="24"/>
        </w:rPr>
      </w:pPr>
      <w:r w:rsidRPr="00BF6CCA">
        <w:rPr>
          <w:b w:val="0"/>
          <w:szCs w:val="24"/>
        </w:rPr>
        <w:t>7</w:t>
      </w:r>
      <w:r w:rsidR="004C0103" w:rsidRPr="00BF6CCA">
        <w:rPr>
          <w:b w:val="0"/>
          <w:szCs w:val="24"/>
        </w:rPr>
        <w:t>.0</w:t>
      </w:r>
      <w:r w:rsidR="004C0103" w:rsidRPr="00BF6CCA">
        <w:rPr>
          <w:b w:val="0"/>
          <w:szCs w:val="24"/>
        </w:rPr>
        <w:tab/>
      </w:r>
      <w:r w:rsidR="00333FAA" w:rsidRPr="00BF6CCA">
        <w:rPr>
          <w:szCs w:val="24"/>
        </w:rPr>
        <w:t>Performance Issues</w:t>
      </w:r>
      <w:r w:rsidR="001C7E35" w:rsidRPr="00BF6CCA">
        <w:rPr>
          <w:szCs w:val="24"/>
        </w:rPr>
        <w:tab/>
      </w:r>
    </w:p>
    <w:p w14:paraId="3516F3B6" w14:textId="77777777" w:rsidR="002F6F08" w:rsidRPr="00BF6CCA" w:rsidRDefault="002F6F08" w:rsidP="003634DA">
      <w:pPr>
        <w:tabs>
          <w:tab w:val="left" w:pos="7245"/>
        </w:tabs>
        <w:ind w:left="567"/>
        <w:jc w:val="both"/>
        <w:rPr>
          <w:szCs w:val="24"/>
        </w:rPr>
      </w:pPr>
    </w:p>
    <w:p w14:paraId="2669770A" w14:textId="4355291C" w:rsidR="007935C5" w:rsidRPr="004620D4" w:rsidRDefault="007935C5" w:rsidP="003634DA">
      <w:pPr>
        <w:tabs>
          <w:tab w:val="left" w:pos="7245"/>
        </w:tabs>
        <w:ind w:left="567"/>
        <w:jc w:val="both"/>
        <w:rPr>
          <w:szCs w:val="24"/>
          <w:lang w:val="en-US"/>
        </w:rPr>
      </w:pPr>
      <w:r w:rsidRPr="00BF6CCA">
        <w:rPr>
          <w:szCs w:val="24"/>
        </w:rPr>
        <w:t xml:space="preserve">Good financial monitoring is essential to </w:t>
      </w:r>
      <w:r w:rsidRPr="00BF6CCA">
        <w:rPr>
          <w:szCs w:val="24"/>
          <w:lang w:val="en-US"/>
        </w:rPr>
        <w:t xml:space="preserve">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w:t>
      </w:r>
      <w:r w:rsidRPr="004620D4">
        <w:rPr>
          <w:szCs w:val="24"/>
          <w:lang w:val="en-US"/>
        </w:rPr>
        <w:t>capital resources are maximized.</w:t>
      </w:r>
    </w:p>
    <w:p w14:paraId="37088F14" w14:textId="77777777" w:rsidR="007935C5" w:rsidRPr="004620D4" w:rsidRDefault="007935C5" w:rsidP="007935C5">
      <w:pPr>
        <w:tabs>
          <w:tab w:val="left" w:pos="7245"/>
        </w:tabs>
        <w:ind w:left="709"/>
        <w:jc w:val="both"/>
        <w:rPr>
          <w:szCs w:val="24"/>
          <w:lang w:val="en-US"/>
        </w:rPr>
      </w:pPr>
    </w:p>
    <w:p w14:paraId="5E65C0F0" w14:textId="44C0412E" w:rsidR="007935C5" w:rsidRPr="004620D4" w:rsidRDefault="00A66B79" w:rsidP="003634DA">
      <w:pPr>
        <w:tabs>
          <w:tab w:val="left" w:pos="7245"/>
        </w:tabs>
        <w:ind w:left="567"/>
        <w:jc w:val="both"/>
        <w:rPr>
          <w:szCs w:val="24"/>
        </w:rPr>
      </w:pPr>
      <w:r w:rsidRPr="004620D4">
        <w:rPr>
          <w:szCs w:val="24"/>
        </w:rPr>
        <w:t>As at Q1 the forecast on the revenue budget is a net overspend of £</w:t>
      </w:r>
      <w:r w:rsidR="004620D4" w:rsidRPr="004620D4">
        <w:rPr>
          <w:szCs w:val="24"/>
        </w:rPr>
        <w:t>2.</w:t>
      </w:r>
      <w:r w:rsidR="00F82F47">
        <w:rPr>
          <w:szCs w:val="24"/>
        </w:rPr>
        <w:t>350</w:t>
      </w:r>
      <w:r w:rsidR="004620D4" w:rsidRPr="004620D4">
        <w:rPr>
          <w:szCs w:val="24"/>
        </w:rPr>
        <w:t>m</w:t>
      </w:r>
      <w:r w:rsidRPr="004620D4">
        <w:rPr>
          <w:szCs w:val="24"/>
        </w:rPr>
        <w:t>.</w:t>
      </w:r>
    </w:p>
    <w:p w14:paraId="00A7ACC1" w14:textId="77777777" w:rsidR="007935C5" w:rsidRPr="004620D4" w:rsidRDefault="007935C5" w:rsidP="007935C5">
      <w:pPr>
        <w:tabs>
          <w:tab w:val="left" w:pos="7245"/>
        </w:tabs>
        <w:ind w:left="709"/>
        <w:jc w:val="both"/>
        <w:rPr>
          <w:szCs w:val="24"/>
        </w:rPr>
      </w:pPr>
    </w:p>
    <w:p w14:paraId="72674893" w14:textId="003BD5D4" w:rsidR="003B40B3" w:rsidRPr="00BF6CCA" w:rsidRDefault="003B40B3" w:rsidP="003B40B3">
      <w:pPr>
        <w:pStyle w:val="ListParagraph"/>
        <w:tabs>
          <w:tab w:val="left" w:pos="567"/>
        </w:tabs>
        <w:ind w:left="567" w:right="140"/>
        <w:contextualSpacing/>
        <w:jc w:val="both"/>
        <w:rPr>
          <w:rFonts w:cs="Arial"/>
          <w:szCs w:val="24"/>
        </w:rPr>
      </w:pPr>
      <w:r w:rsidRPr="004620D4">
        <w:rPr>
          <w:rFonts w:cs="Arial"/>
          <w:bCs/>
          <w:szCs w:val="24"/>
        </w:rPr>
        <w:lastRenderedPageBreak/>
        <w:t xml:space="preserve">The </w:t>
      </w:r>
      <w:r w:rsidR="00D12F50" w:rsidRPr="004620D4">
        <w:rPr>
          <w:rFonts w:cs="Arial"/>
          <w:bCs/>
          <w:szCs w:val="24"/>
        </w:rPr>
        <w:t>projected s</w:t>
      </w:r>
      <w:r w:rsidRPr="004620D4">
        <w:rPr>
          <w:rFonts w:cs="Arial"/>
          <w:bCs/>
          <w:szCs w:val="24"/>
        </w:rPr>
        <w:t>pend on the Capital Programme is £</w:t>
      </w:r>
      <w:r w:rsidR="00BF6CCA" w:rsidRPr="004620D4">
        <w:rPr>
          <w:rFonts w:cs="Arial"/>
          <w:bCs/>
          <w:szCs w:val="24"/>
        </w:rPr>
        <w:t>127.817</w:t>
      </w:r>
      <w:r w:rsidR="00D12F50" w:rsidRPr="004620D4">
        <w:rPr>
          <w:rFonts w:cs="Arial"/>
          <w:bCs/>
          <w:szCs w:val="24"/>
        </w:rPr>
        <w:t>m</w:t>
      </w:r>
      <w:r w:rsidR="00BF6CCA" w:rsidRPr="004620D4">
        <w:rPr>
          <w:rFonts w:cs="Arial"/>
          <w:bCs/>
          <w:szCs w:val="24"/>
        </w:rPr>
        <w:t xml:space="preserve"> </w:t>
      </w:r>
      <w:r w:rsidR="00BF6CCA" w:rsidRPr="00BF6CCA">
        <w:rPr>
          <w:rFonts w:cs="Arial"/>
          <w:bCs/>
          <w:szCs w:val="24"/>
        </w:rPr>
        <w:t>which represents</w:t>
      </w:r>
      <w:r w:rsidRPr="00BF6CCA">
        <w:rPr>
          <w:rFonts w:cs="Arial"/>
          <w:bCs/>
          <w:szCs w:val="24"/>
        </w:rPr>
        <w:t xml:space="preserve"> </w:t>
      </w:r>
      <w:r w:rsidR="00BF6CCA" w:rsidRPr="00BF6CCA">
        <w:rPr>
          <w:rFonts w:cs="Arial"/>
          <w:bCs/>
          <w:szCs w:val="24"/>
        </w:rPr>
        <w:t>8</w:t>
      </w:r>
      <w:r w:rsidR="00E1686D" w:rsidRPr="00BF6CCA">
        <w:rPr>
          <w:rFonts w:cs="Arial"/>
          <w:bCs/>
          <w:szCs w:val="24"/>
        </w:rPr>
        <w:t>1</w:t>
      </w:r>
      <w:r w:rsidRPr="00BF6CCA">
        <w:rPr>
          <w:rFonts w:cs="Arial"/>
          <w:bCs/>
          <w:szCs w:val="24"/>
        </w:rPr>
        <w:t xml:space="preserve">% of the total budget. </w:t>
      </w:r>
    </w:p>
    <w:p w14:paraId="770A68F6" w14:textId="77777777" w:rsidR="0081366B" w:rsidRPr="00541017" w:rsidRDefault="0081366B" w:rsidP="00AF66F2">
      <w:pPr>
        <w:tabs>
          <w:tab w:val="left" w:pos="7245"/>
        </w:tabs>
        <w:jc w:val="both"/>
        <w:rPr>
          <w:color w:val="FF0000"/>
          <w:szCs w:val="24"/>
        </w:rPr>
      </w:pPr>
    </w:p>
    <w:p w14:paraId="10B45FCE" w14:textId="7FDE0066" w:rsidR="00333FAA" w:rsidRPr="00BF6CCA" w:rsidRDefault="00BC74D1" w:rsidP="00AF66F2">
      <w:pPr>
        <w:pStyle w:val="Heading4"/>
        <w:jc w:val="both"/>
        <w:rPr>
          <w:szCs w:val="24"/>
        </w:rPr>
      </w:pPr>
      <w:r w:rsidRPr="00F82F47">
        <w:rPr>
          <w:b w:val="0"/>
          <w:color w:val="000000" w:themeColor="text1"/>
          <w:szCs w:val="24"/>
        </w:rPr>
        <w:t>8</w:t>
      </w:r>
      <w:r w:rsidR="004C0103" w:rsidRPr="00F82F47">
        <w:rPr>
          <w:b w:val="0"/>
          <w:color w:val="000000" w:themeColor="text1"/>
          <w:szCs w:val="24"/>
        </w:rPr>
        <w:t>.0</w:t>
      </w:r>
      <w:r w:rsidR="0008678F" w:rsidRPr="00F82F47">
        <w:rPr>
          <w:color w:val="000000" w:themeColor="text1"/>
          <w:szCs w:val="24"/>
        </w:rPr>
        <w:t xml:space="preserve">    </w:t>
      </w:r>
      <w:r w:rsidR="00333FAA" w:rsidRPr="00F82F47">
        <w:rPr>
          <w:color w:val="000000" w:themeColor="text1"/>
          <w:szCs w:val="24"/>
        </w:rPr>
        <w:t>Environmental Implications</w:t>
      </w:r>
    </w:p>
    <w:p w14:paraId="72CC1CBA" w14:textId="77777777" w:rsidR="000929A6" w:rsidRPr="00BF6CCA" w:rsidRDefault="000929A6" w:rsidP="00AF66F2">
      <w:pPr>
        <w:jc w:val="both"/>
        <w:rPr>
          <w:iCs/>
          <w:szCs w:val="24"/>
        </w:rPr>
      </w:pPr>
    </w:p>
    <w:p w14:paraId="1B7702EF" w14:textId="155FCDCF" w:rsidR="000929A6" w:rsidRPr="00BF6CCA" w:rsidRDefault="0008678F" w:rsidP="003634DA">
      <w:pPr>
        <w:jc w:val="both"/>
        <w:rPr>
          <w:szCs w:val="24"/>
        </w:rPr>
      </w:pPr>
      <w:r w:rsidRPr="00BF6CCA">
        <w:rPr>
          <w:szCs w:val="24"/>
        </w:rPr>
        <w:t xml:space="preserve">         </w:t>
      </w:r>
      <w:r w:rsidR="005641E0" w:rsidRPr="00BF6CCA">
        <w:rPr>
          <w:szCs w:val="24"/>
        </w:rPr>
        <w:t>There is no direct environmental impact.</w:t>
      </w:r>
    </w:p>
    <w:p w14:paraId="3FB84BF0" w14:textId="77777777" w:rsidR="00B1160D" w:rsidRPr="00BF6CCA" w:rsidRDefault="00B1160D" w:rsidP="00AF66F2">
      <w:pPr>
        <w:jc w:val="both"/>
        <w:rPr>
          <w:szCs w:val="24"/>
        </w:rPr>
      </w:pPr>
    </w:p>
    <w:p w14:paraId="45FE986E" w14:textId="02C23F98" w:rsidR="00A81E19" w:rsidRPr="00BF6CCA" w:rsidRDefault="00BC74D1" w:rsidP="00731669">
      <w:pPr>
        <w:pStyle w:val="Heading2"/>
        <w:ind w:left="567" w:hanging="567"/>
        <w:jc w:val="both"/>
        <w:rPr>
          <w:sz w:val="24"/>
          <w:szCs w:val="24"/>
        </w:rPr>
      </w:pPr>
      <w:r w:rsidRPr="00BF6CCA">
        <w:rPr>
          <w:b w:val="0"/>
          <w:sz w:val="24"/>
          <w:szCs w:val="24"/>
        </w:rPr>
        <w:t>9</w:t>
      </w:r>
      <w:r w:rsidR="004C0103" w:rsidRPr="00BF6CCA">
        <w:rPr>
          <w:b w:val="0"/>
          <w:sz w:val="24"/>
          <w:szCs w:val="24"/>
        </w:rPr>
        <w:t>.0</w:t>
      </w:r>
      <w:r w:rsidR="004C0103" w:rsidRPr="00BF6CCA">
        <w:rPr>
          <w:sz w:val="24"/>
          <w:szCs w:val="24"/>
        </w:rPr>
        <w:tab/>
      </w:r>
      <w:r w:rsidR="00A81E19" w:rsidRPr="00BF6CCA">
        <w:rPr>
          <w:sz w:val="24"/>
          <w:szCs w:val="24"/>
        </w:rPr>
        <w:t>Risk Management Implications</w:t>
      </w:r>
    </w:p>
    <w:p w14:paraId="532AA002" w14:textId="77777777" w:rsidR="00A81E19" w:rsidRPr="00BF6CCA" w:rsidRDefault="00A81E19" w:rsidP="00AF66F2">
      <w:pPr>
        <w:pStyle w:val="Heading4"/>
        <w:jc w:val="both"/>
        <w:rPr>
          <w:b w:val="0"/>
          <w:szCs w:val="24"/>
        </w:rPr>
      </w:pPr>
    </w:p>
    <w:p w14:paraId="6FF7070B" w14:textId="09D05247" w:rsidR="009C523F" w:rsidRPr="00BF6CCA" w:rsidRDefault="009C523F" w:rsidP="009C523F">
      <w:pPr>
        <w:tabs>
          <w:tab w:val="left" w:pos="5610"/>
        </w:tabs>
        <w:ind w:left="567" w:right="81"/>
      </w:pPr>
      <w:r w:rsidRPr="00BF6CCA">
        <w:rPr>
          <w:rFonts w:cs="Arial"/>
          <w:szCs w:val="24"/>
          <w:lang w:val="en-US"/>
        </w:rPr>
        <w:t xml:space="preserve">Risks included on corporate or directorate risk </w:t>
      </w:r>
      <w:r w:rsidR="0052699C" w:rsidRPr="00BF6CCA">
        <w:rPr>
          <w:rFonts w:cs="Arial"/>
          <w:szCs w:val="24"/>
          <w:lang w:val="en-US"/>
        </w:rPr>
        <w:t>register.</w:t>
      </w:r>
      <w:r w:rsidRPr="00BF6CCA">
        <w:rPr>
          <w:rFonts w:cs="Arial"/>
          <w:szCs w:val="24"/>
          <w:lang w:val="en-US"/>
        </w:rPr>
        <w:t xml:space="preserve"> </w:t>
      </w:r>
      <w:r w:rsidR="007C582D">
        <w:rPr>
          <w:rFonts w:cs="Arial"/>
          <w:b/>
          <w:bCs/>
          <w:szCs w:val="24"/>
          <w:lang w:val="en-US"/>
        </w:rPr>
        <w:t>No</w:t>
      </w:r>
    </w:p>
    <w:p w14:paraId="72D63551" w14:textId="77777777" w:rsidR="009C523F" w:rsidRPr="00BF6CCA" w:rsidRDefault="009C523F" w:rsidP="009C523F">
      <w:pPr>
        <w:ind w:left="567" w:right="141"/>
        <w:rPr>
          <w:rFonts w:cs="Arial"/>
          <w:szCs w:val="24"/>
          <w:lang w:val="en-US" w:eastAsia="en-GB"/>
        </w:rPr>
      </w:pPr>
      <w:r w:rsidRPr="00BF6CCA">
        <w:rPr>
          <w:rFonts w:cs="Arial"/>
          <w:szCs w:val="24"/>
          <w:lang w:val="en-US" w:eastAsia="en-GB"/>
        </w:rPr>
        <w:t xml:space="preserve">  </w:t>
      </w:r>
    </w:p>
    <w:p w14:paraId="1EC85C3D" w14:textId="77777777" w:rsidR="009C523F" w:rsidRPr="00BF6CCA" w:rsidRDefault="009C523F" w:rsidP="009C523F">
      <w:pPr>
        <w:ind w:left="567" w:right="141"/>
        <w:rPr>
          <w:rFonts w:cs="Arial"/>
          <w:szCs w:val="24"/>
          <w:lang w:val="en-US" w:eastAsia="en-GB"/>
        </w:rPr>
      </w:pPr>
      <w:r w:rsidRPr="00BF6CCA">
        <w:rPr>
          <w:rFonts w:cs="Arial"/>
          <w:szCs w:val="24"/>
          <w:lang w:val="en-US" w:eastAsia="en-GB"/>
        </w:rPr>
        <w:t xml:space="preserve">Separate risk register in place? </w:t>
      </w:r>
      <w:r w:rsidRPr="00BF6CCA">
        <w:rPr>
          <w:rFonts w:cs="Arial"/>
          <w:b/>
          <w:bCs/>
          <w:szCs w:val="24"/>
          <w:lang w:val="en-US" w:eastAsia="en-GB"/>
        </w:rPr>
        <w:t>No</w:t>
      </w:r>
    </w:p>
    <w:p w14:paraId="078754B9" w14:textId="77777777" w:rsidR="009C523F" w:rsidRPr="00BF6CCA" w:rsidRDefault="009C523F" w:rsidP="009C523F">
      <w:pPr>
        <w:tabs>
          <w:tab w:val="left" w:pos="5610"/>
        </w:tabs>
        <w:ind w:left="567" w:right="81"/>
      </w:pPr>
    </w:p>
    <w:p w14:paraId="6DC9F866" w14:textId="77777777" w:rsidR="009C523F" w:rsidRPr="00BF6CCA" w:rsidRDefault="009C523F" w:rsidP="009C523F">
      <w:pPr>
        <w:tabs>
          <w:tab w:val="left" w:pos="5610"/>
        </w:tabs>
        <w:ind w:left="567" w:right="81"/>
      </w:pPr>
      <w:r w:rsidRPr="00BF6CCA">
        <w:t xml:space="preserve">The relevant risks contained in the register are attached/summarised below. </w:t>
      </w:r>
      <w:r w:rsidRPr="00BF6CCA">
        <w:rPr>
          <w:rFonts w:cs="Arial"/>
          <w:b/>
          <w:bCs/>
          <w:szCs w:val="24"/>
          <w:lang w:val="en-US" w:eastAsia="en-GB"/>
        </w:rPr>
        <w:t>Yes</w:t>
      </w:r>
    </w:p>
    <w:p w14:paraId="2A54CBCB" w14:textId="77777777" w:rsidR="009C523F" w:rsidRPr="00BF6CCA" w:rsidRDefault="009C523F" w:rsidP="009C523F">
      <w:pPr>
        <w:ind w:left="-567"/>
      </w:pPr>
    </w:p>
    <w:p w14:paraId="121AF0C5" w14:textId="0A711B55" w:rsidR="009C523F" w:rsidRPr="00BF6CCA" w:rsidRDefault="009C523F" w:rsidP="009C523F">
      <w:pPr>
        <w:ind w:left="567"/>
        <w:jc w:val="both"/>
      </w:pPr>
      <w:r w:rsidRPr="00BF6CCA">
        <w:t xml:space="preserve">The following key risks should be taken onto account when </w:t>
      </w:r>
      <w:r w:rsidR="001619BF" w:rsidRPr="00BF6CCA">
        <w:t xml:space="preserve">noting </w:t>
      </w:r>
      <w:r w:rsidRPr="00BF6CCA">
        <w:t>the report:</w:t>
      </w:r>
    </w:p>
    <w:p w14:paraId="303243C7" w14:textId="135EF01A" w:rsidR="003C7F2F" w:rsidRPr="00541017" w:rsidRDefault="003C7F2F" w:rsidP="009C523F">
      <w:pPr>
        <w:ind w:left="567"/>
        <w:jc w:val="both"/>
        <w:rPr>
          <w:color w:val="FF0000"/>
        </w:rPr>
      </w:pPr>
    </w:p>
    <w:p w14:paraId="3C2DE1DF" w14:textId="77777777" w:rsidR="003C7F2F" w:rsidRPr="00541017" w:rsidRDefault="003C7F2F" w:rsidP="009C523F">
      <w:pPr>
        <w:ind w:left="567"/>
        <w:jc w:val="both"/>
        <w:rPr>
          <w:color w:val="FF0000"/>
        </w:rPr>
      </w:pPr>
    </w:p>
    <w:p w14:paraId="2E93725F" w14:textId="77777777" w:rsidR="009C523F" w:rsidRPr="00541017"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CB4289" w:rsidRPr="00CB4289"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D30295" w:rsidRDefault="009C523F" w:rsidP="009C523F">
            <w:pPr>
              <w:ind w:left="34" w:right="141"/>
              <w:rPr>
                <w:rFonts w:cs="Arial"/>
                <w:b/>
                <w:bCs/>
                <w:sz w:val="20"/>
                <w:lang w:val="en-US" w:eastAsia="en-GB"/>
              </w:rPr>
            </w:pPr>
            <w:r w:rsidRPr="00D30295">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D30295" w:rsidRDefault="009C523F" w:rsidP="009C523F">
            <w:pPr>
              <w:ind w:right="141" w:hanging="2"/>
              <w:rPr>
                <w:rFonts w:cs="Arial"/>
                <w:b/>
                <w:bCs/>
                <w:sz w:val="20"/>
                <w:lang w:val="en-US" w:eastAsia="en-GB"/>
              </w:rPr>
            </w:pPr>
            <w:r w:rsidRPr="00D30295">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B4289" w:rsidRDefault="009C523F" w:rsidP="009C523F">
            <w:pPr>
              <w:ind w:left="567" w:right="141"/>
              <w:jc w:val="center"/>
              <w:rPr>
                <w:rFonts w:cs="Arial"/>
                <w:b/>
                <w:bCs/>
                <w:sz w:val="20"/>
                <w:lang w:val="en-US" w:eastAsia="en-GB"/>
              </w:rPr>
            </w:pPr>
            <w:r w:rsidRPr="00CB4289">
              <w:rPr>
                <w:rFonts w:cs="Arial"/>
                <w:b/>
                <w:bCs/>
                <w:sz w:val="20"/>
                <w:lang w:val="en-US" w:eastAsia="en-GB"/>
              </w:rPr>
              <w:t xml:space="preserve">RAG Status </w:t>
            </w:r>
          </w:p>
        </w:tc>
      </w:tr>
      <w:tr w:rsidR="00CB4289" w:rsidRPr="00CB4289" w14:paraId="42081C92" w14:textId="77777777" w:rsidTr="00BB56CB">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8DC6D92" w:rsidR="00A66B79" w:rsidRPr="00D30295" w:rsidRDefault="00A66B79" w:rsidP="00A66B79">
            <w:pPr>
              <w:ind w:left="34" w:right="141"/>
              <w:rPr>
                <w:rFonts w:cs="Arial"/>
                <w:sz w:val="20"/>
                <w:lang w:val="en-US" w:eastAsia="en-GB"/>
              </w:rPr>
            </w:pPr>
            <w:r w:rsidRPr="00D30295">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E28F" w14:textId="574DC0F4" w:rsidR="00A66B79" w:rsidRPr="00D3029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D30295">
              <w:rPr>
                <w:rFonts w:cs="Arial"/>
                <w:sz w:val="20"/>
                <w:lang w:val="en-US" w:eastAsia="en-GB"/>
              </w:rPr>
              <w:t xml:space="preserve">At Q1 there is a </w:t>
            </w:r>
            <w:r w:rsidR="00A95191" w:rsidRPr="00D30295">
              <w:rPr>
                <w:rFonts w:cs="Arial"/>
                <w:sz w:val="20"/>
                <w:lang w:val="en-US" w:eastAsia="en-GB"/>
              </w:rPr>
              <w:t xml:space="preserve">projected net revenue </w:t>
            </w:r>
            <w:r w:rsidRPr="00D30295">
              <w:rPr>
                <w:rFonts w:cs="Arial"/>
                <w:sz w:val="20"/>
                <w:lang w:val="en-US" w:eastAsia="en-GB"/>
              </w:rPr>
              <w:t>overspend of £</w:t>
            </w:r>
            <w:r w:rsidR="004620D4" w:rsidRPr="00D30295">
              <w:rPr>
                <w:rFonts w:cs="Arial"/>
                <w:sz w:val="20"/>
                <w:lang w:val="en-US" w:eastAsia="en-GB"/>
              </w:rPr>
              <w:t>2.</w:t>
            </w:r>
            <w:r w:rsidR="00106E01" w:rsidRPr="00D30295">
              <w:rPr>
                <w:rFonts w:cs="Arial"/>
                <w:sz w:val="20"/>
                <w:lang w:val="en-US" w:eastAsia="en-GB"/>
              </w:rPr>
              <w:t>35</w:t>
            </w:r>
            <w:r w:rsidR="004620D4" w:rsidRPr="00D30295">
              <w:rPr>
                <w:rFonts w:cs="Arial"/>
                <w:sz w:val="20"/>
                <w:lang w:val="en-US" w:eastAsia="en-GB"/>
              </w:rPr>
              <w:t>0m.</w:t>
            </w:r>
          </w:p>
          <w:p w14:paraId="5CF037AA" w14:textId="7A875FB5" w:rsidR="00103DDF" w:rsidRPr="00D30295" w:rsidRDefault="00103DDF" w:rsidP="00A66B79">
            <w:pPr>
              <w:pStyle w:val="ListParagraph"/>
              <w:numPr>
                <w:ilvl w:val="0"/>
                <w:numId w:val="14"/>
              </w:numPr>
              <w:suppressAutoHyphens/>
              <w:autoSpaceDN w:val="0"/>
              <w:ind w:left="0" w:right="141" w:firstLine="423"/>
              <w:textAlignment w:val="baseline"/>
              <w:rPr>
                <w:rFonts w:cs="Arial"/>
                <w:sz w:val="20"/>
                <w:lang w:val="en-US" w:eastAsia="en-GB"/>
              </w:rPr>
            </w:pPr>
            <w:r w:rsidRPr="00D30295">
              <w:rPr>
                <w:rFonts w:cs="Arial"/>
                <w:sz w:val="20"/>
                <w:lang w:val="en-US" w:eastAsia="en-GB"/>
              </w:rPr>
              <w:t xml:space="preserve">This includes an assumption that </w:t>
            </w:r>
            <w:r w:rsidR="00A02570">
              <w:rPr>
                <w:rFonts w:cs="Arial"/>
                <w:sz w:val="20"/>
                <w:lang w:val="en-US" w:eastAsia="en-GB"/>
              </w:rPr>
              <w:t>31</w:t>
            </w:r>
            <w:r w:rsidRPr="00D30295">
              <w:rPr>
                <w:rFonts w:cs="Arial"/>
                <w:sz w:val="20"/>
                <w:lang w:val="en-US" w:eastAsia="en-GB"/>
              </w:rPr>
              <w:t>% of the MTFS savings are rated Red and are either not achieved or not achieved in full this financial year</w:t>
            </w:r>
          </w:p>
          <w:p w14:paraId="52DD188F" w14:textId="44BF8E8D" w:rsidR="00A66B79" w:rsidRPr="00D3029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D30295">
              <w:rPr>
                <w:rFonts w:cs="Arial"/>
                <w:sz w:val="20"/>
                <w:lang w:val="en-US" w:eastAsia="en-GB"/>
              </w:rPr>
              <w:t xml:space="preserve">It is anticipated that by the end of the year this </w:t>
            </w:r>
            <w:r w:rsidR="00AB6724" w:rsidRPr="00D30295">
              <w:rPr>
                <w:rFonts w:cs="Arial"/>
                <w:sz w:val="20"/>
                <w:lang w:val="en-US" w:eastAsia="en-GB"/>
              </w:rPr>
              <w:t xml:space="preserve">overspend </w:t>
            </w:r>
            <w:r w:rsidRPr="00D30295">
              <w:rPr>
                <w:rFonts w:cs="Arial"/>
                <w:sz w:val="20"/>
                <w:lang w:val="en-US" w:eastAsia="en-GB"/>
              </w:rPr>
              <w:t>can be contained within budget through continued robust budget monitoring and challenge</w:t>
            </w:r>
            <w:r w:rsidR="00EB52D3" w:rsidRPr="00D30295">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70410E0" w14:textId="24177796" w:rsidR="00A66B79" w:rsidRPr="00CB4289" w:rsidRDefault="00BB56CB" w:rsidP="00A66B79">
            <w:pPr>
              <w:ind w:left="567" w:right="141"/>
              <w:rPr>
                <w:rFonts w:cs="Arial"/>
                <w:sz w:val="20"/>
                <w:lang w:val="en-US" w:eastAsia="en-GB"/>
              </w:rPr>
            </w:pPr>
            <w:r w:rsidRPr="00CB4289">
              <w:rPr>
                <w:rFonts w:cs="Arial"/>
                <w:sz w:val="20"/>
                <w:lang w:val="en-US" w:eastAsia="en-GB"/>
              </w:rPr>
              <w:t>Amber</w:t>
            </w:r>
          </w:p>
        </w:tc>
      </w:tr>
      <w:tr w:rsidR="00CC439E" w:rsidRPr="00CB4289" w14:paraId="4AE3C652" w14:textId="77777777" w:rsidTr="00CC439E">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50EC" w14:textId="1C50AAE2" w:rsidR="00CC439E" w:rsidRPr="00CB4289" w:rsidRDefault="00CC439E" w:rsidP="00CC439E">
            <w:pPr>
              <w:ind w:left="34" w:right="141"/>
              <w:rPr>
                <w:rFonts w:cs="Arial"/>
                <w:sz w:val="20"/>
                <w:lang w:val="en-US" w:eastAsia="en-GB"/>
              </w:rPr>
            </w:pPr>
            <w:r w:rsidRPr="00CB4289">
              <w:rPr>
                <w:rFonts w:cs="Arial"/>
                <w:sz w:val="20"/>
                <w:lang w:val="en-US" w:eastAsia="en-GB"/>
              </w:rPr>
              <w:t>Pay inflation impact on budget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3F55" w14:textId="1EAD0CEA" w:rsidR="00CC439E" w:rsidRPr="00CC439E" w:rsidRDefault="00CC439E" w:rsidP="00CC439E">
            <w:pPr>
              <w:jc w:val="both"/>
              <w:rPr>
                <w:rFonts w:cs="Arial"/>
                <w:sz w:val="20"/>
              </w:rPr>
            </w:pPr>
            <w:r w:rsidRPr="00CC439E">
              <w:rPr>
                <w:rFonts w:cs="Arial"/>
                <w:sz w:val="20"/>
              </w:rPr>
              <w:t xml:space="preserve">The pay inflation budget of £4m was based on 4% pay award. However, the cost of the pay ward in 2022-23 was £6.928m </w:t>
            </w:r>
            <w:r w:rsidR="002B2208">
              <w:rPr>
                <w:rFonts w:cs="Arial"/>
                <w:sz w:val="20"/>
              </w:rPr>
              <w:t>and it’s likely the 2023-24 pay award will cost more than the 2022-23 award.  T</w:t>
            </w:r>
            <w:r w:rsidRPr="00CC439E">
              <w:rPr>
                <w:rFonts w:cs="Arial"/>
                <w:sz w:val="20"/>
              </w:rPr>
              <w:t>here is a further one-off budget of £1.4m which is being held to fund any increases above £6.928m.</w:t>
            </w:r>
          </w:p>
        </w:tc>
        <w:tc>
          <w:tcPr>
            <w:tcW w:w="14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22E724E" w14:textId="36C1859E" w:rsidR="00CC439E" w:rsidRPr="00CB4289" w:rsidRDefault="00CC439E" w:rsidP="00CC439E">
            <w:pPr>
              <w:ind w:left="567" w:right="141"/>
              <w:rPr>
                <w:rFonts w:cs="Arial"/>
                <w:sz w:val="20"/>
                <w:lang w:val="en-US" w:eastAsia="en-GB"/>
              </w:rPr>
            </w:pPr>
            <w:r w:rsidRPr="00CB4289">
              <w:rPr>
                <w:rFonts w:cs="Arial"/>
                <w:sz w:val="20"/>
                <w:lang w:val="en-US" w:eastAsia="en-GB"/>
              </w:rPr>
              <w:t>Amber</w:t>
            </w:r>
          </w:p>
        </w:tc>
      </w:tr>
      <w:tr w:rsidR="00CC439E" w:rsidRPr="00CB4289"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CC439E" w:rsidRPr="00CB4289" w:rsidRDefault="00CC439E" w:rsidP="00CC439E">
            <w:pPr>
              <w:ind w:left="34" w:right="141"/>
              <w:rPr>
                <w:rFonts w:cs="Arial"/>
                <w:sz w:val="20"/>
                <w:lang w:val="en-US" w:eastAsia="en-GB"/>
              </w:rPr>
            </w:pPr>
            <w:r w:rsidRPr="00CB4289">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CC439E" w:rsidRPr="00CC439E" w:rsidRDefault="00CC439E" w:rsidP="00CC439E">
            <w:pPr>
              <w:pStyle w:val="ListParagraph"/>
              <w:numPr>
                <w:ilvl w:val="0"/>
                <w:numId w:val="14"/>
              </w:numPr>
              <w:suppressAutoHyphens/>
              <w:autoSpaceDN w:val="0"/>
              <w:ind w:left="0" w:right="141" w:firstLine="423"/>
              <w:textAlignment w:val="baseline"/>
              <w:rPr>
                <w:rFonts w:cs="Arial"/>
                <w:sz w:val="20"/>
                <w:lang w:val="en-US" w:eastAsia="en-GB"/>
              </w:rPr>
            </w:pPr>
            <w:r w:rsidRPr="00CC439E">
              <w:rPr>
                <w:rFonts w:cs="Arial"/>
                <w:sz w:val="20"/>
                <w:lang w:val="en-US" w:eastAsia="en-GB"/>
              </w:rPr>
              <w:t>Income target reprofiled over four years rather than three</w:t>
            </w:r>
          </w:p>
          <w:p w14:paraId="53E99BBC" w14:textId="5856F5A2" w:rsidR="00CC439E" w:rsidRPr="00CC439E" w:rsidRDefault="00CC439E" w:rsidP="00CC439E">
            <w:pPr>
              <w:pStyle w:val="ListParagraph"/>
              <w:numPr>
                <w:ilvl w:val="0"/>
                <w:numId w:val="14"/>
              </w:numPr>
              <w:suppressAutoHyphens/>
              <w:autoSpaceDN w:val="0"/>
              <w:ind w:left="0" w:right="141" w:firstLine="423"/>
              <w:textAlignment w:val="baseline"/>
              <w:rPr>
                <w:rFonts w:cs="Arial"/>
                <w:sz w:val="20"/>
                <w:lang w:val="en-US" w:eastAsia="en-GB"/>
              </w:rPr>
            </w:pPr>
            <w:r w:rsidRPr="00CC439E">
              <w:rPr>
                <w:rFonts w:cs="Arial"/>
                <w:sz w:val="20"/>
                <w:lang w:val="en-US" w:eastAsia="en-GB"/>
              </w:rPr>
              <w:t>Impact of reprofiling on 2023-24 budget is already assumed in the overall outturn</w:t>
            </w:r>
          </w:p>
          <w:p w14:paraId="340AD2BD" w14:textId="77777777" w:rsidR="00CC439E" w:rsidRPr="00CC439E" w:rsidRDefault="00CC439E" w:rsidP="00CC439E">
            <w:pPr>
              <w:pStyle w:val="ListParagraph"/>
              <w:numPr>
                <w:ilvl w:val="0"/>
                <w:numId w:val="14"/>
              </w:numPr>
              <w:suppressAutoHyphens/>
              <w:autoSpaceDN w:val="0"/>
              <w:ind w:left="0" w:right="141" w:firstLine="423"/>
              <w:textAlignment w:val="baseline"/>
              <w:rPr>
                <w:rFonts w:cs="Arial"/>
                <w:sz w:val="20"/>
                <w:lang w:val="en-US" w:eastAsia="en-GB"/>
              </w:rPr>
            </w:pPr>
            <w:r w:rsidRPr="00CC439E">
              <w:rPr>
                <w:rFonts w:cs="Arial"/>
                <w:sz w:val="20"/>
                <w:lang w:val="en-US" w:eastAsia="en-GB"/>
              </w:rPr>
              <w:t>Quarterly stakeholder groups</w:t>
            </w:r>
          </w:p>
          <w:p w14:paraId="4DC591E4" w14:textId="33CE7525" w:rsidR="00CC439E" w:rsidRPr="00CC439E" w:rsidRDefault="00CC439E" w:rsidP="00CC439E">
            <w:pPr>
              <w:pStyle w:val="ListParagraph"/>
              <w:numPr>
                <w:ilvl w:val="0"/>
                <w:numId w:val="14"/>
              </w:numPr>
              <w:suppressAutoHyphens/>
              <w:autoSpaceDN w:val="0"/>
              <w:ind w:left="0" w:right="141" w:firstLine="423"/>
              <w:textAlignment w:val="baseline"/>
              <w:rPr>
                <w:rFonts w:cs="Arial"/>
                <w:sz w:val="20"/>
                <w:lang w:val="en-US" w:eastAsia="en-GB"/>
              </w:rPr>
            </w:pPr>
            <w:r w:rsidRPr="00CC439E">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CC439E" w:rsidRPr="00CB4289" w:rsidRDefault="00CC439E" w:rsidP="00CC439E">
            <w:pPr>
              <w:ind w:left="567" w:right="141"/>
              <w:rPr>
                <w:rFonts w:cs="Arial"/>
                <w:sz w:val="20"/>
                <w:lang w:val="en-US" w:eastAsia="en-GB"/>
              </w:rPr>
            </w:pPr>
            <w:r w:rsidRPr="00CB4289">
              <w:rPr>
                <w:rFonts w:cs="Arial"/>
                <w:sz w:val="20"/>
                <w:lang w:val="en-US" w:eastAsia="en-GB"/>
              </w:rPr>
              <w:t>Green</w:t>
            </w:r>
          </w:p>
        </w:tc>
      </w:tr>
      <w:tr w:rsidR="00CC439E" w:rsidRPr="00CB4289" w14:paraId="50A0A4CD"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72A2" w14:textId="04F43072" w:rsidR="00CC439E" w:rsidRPr="00CB4289" w:rsidRDefault="00CC439E" w:rsidP="00CC439E">
            <w:pPr>
              <w:ind w:left="34" w:right="141"/>
              <w:rPr>
                <w:rFonts w:cs="Arial"/>
                <w:sz w:val="20"/>
                <w:lang w:val="en-US" w:eastAsia="en-GB"/>
              </w:rPr>
            </w:pPr>
            <w:r w:rsidRPr="00CB4289">
              <w:rPr>
                <w:rFonts w:cs="Arial"/>
                <w:sz w:val="20"/>
                <w:lang w:val="en-US" w:eastAsia="en-GB"/>
              </w:rPr>
              <w:t xml:space="preserve">Projects within the Capital </w:t>
            </w:r>
            <w:proofErr w:type="spellStart"/>
            <w:r w:rsidRPr="00CB4289">
              <w:rPr>
                <w:rFonts w:cs="Arial"/>
                <w:sz w:val="20"/>
                <w:lang w:val="en-US" w:eastAsia="en-GB"/>
              </w:rPr>
              <w:t>Programme</w:t>
            </w:r>
            <w:proofErr w:type="spellEnd"/>
            <w:r w:rsidRPr="00CB4289">
              <w:rPr>
                <w:rFonts w:cs="Arial"/>
                <w:sz w:val="20"/>
                <w:lang w:val="en-US" w:eastAsia="en-GB"/>
              </w:rPr>
              <w:t xml:space="preserve"> exceed their budget, potentially resulting in additional capital financing costs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2F73" w14:textId="77777777" w:rsidR="00CC439E" w:rsidRPr="00CC439E" w:rsidRDefault="00CC439E" w:rsidP="00CC439E">
            <w:pPr>
              <w:pStyle w:val="ListParagraph"/>
              <w:numPr>
                <w:ilvl w:val="0"/>
                <w:numId w:val="27"/>
              </w:numPr>
              <w:ind w:left="135" w:hanging="135"/>
              <w:rPr>
                <w:rFonts w:ascii="Calibri" w:hAnsi="Calibri"/>
                <w:sz w:val="20"/>
              </w:rPr>
            </w:pPr>
            <w:r w:rsidRPr="00CC439E">
              <w:rPr>
                <w:sz w:val="20"/>
              </w:rPr>
              <w:t xml:space="preserve">If projects exceed their costs, Directorates would be asked to find compensatory savings elsewhere in the programme to cover the overspend.  In the worst-case scenario, a council wide capital budget is held and a virement would be carried out to offset the overspend. </w:t>
            </w:r>
          </w:p>
          <w:p w14:paraId="70177795" w14:textId="77777777" w:rsidR="00CC439E" w:rsidRPr="00CC439E" w:rsidRDefault="00CC439E" w:rsidP="00CC439E">
            <w:pPr>
              <w:pStyle w:val="ListParagraph"/>
              <w:numPr>
                <w:ilvl w:val="0"/>
                <w:numId w:val="14"/>
              </w:numPr>
              <w:suppressAutoHyphens/>
              <w:autoSpaceDN w:val="0"/>
              <w:ind w:left="0" w:right="141" w:firstLine="423"/>
              <w:textAlignment w:val="baseline"/>
              <w:rPr>
                <w:rFonts w:cs="Arial"/>
                <w:sz w:val="20"/>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F537AF3" w14:textId="5A7024CB" w:rsidR="00CC439E" w:rsidRPr="00CB4289" w:rsidRDefault="00CC439E" w:rsidP="00CC439E">
            <w:pPr>
              <w:ind w:left="567" w:right="141"/>
              <w:rPr>
                <w:rFonts w:cs="Arial"/>
                <w:sz w:val="20"/>
                <w:lang w:val="en-US" w:eastAsia="en-GB"/>
              </w:rPr>
            </w:pPr>
            <w:r w:rsidRPr="00CB4289">
              <w:rPr>
                <w:rFonts w:cs="Arial"/>
                <w:sz w:val="20"/>
                <w:lang w:val="en-US" w:eastAsia="en-GB"/>
              </w:rPr>
              <w:lastRenderedPageBreak/>
              <w:t>Green</w:t>
            </w:r>
          </w:p>
        </w:tc>
      </w:tr>
      <w:tr w:rsidR="00CC439E" w:rsidRPr="00CB4289" w14:paraId="0A8FB12A"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21DE" w14:textId="458C41FE" w:rsidR="00CC439E" w:rsidRPr="00CB4289" w:rsidRDefault="00CC439E" w:rsidP="00CC439E">
            <w:pPr>
              <w:ind w:left="34" w:right="141"/>
              <w:rPr>
                <w:rFonts w:cs="Arial"/>
                <w:sz w:val="20"/>
                <w:lang w:val="en-US" w:eastAsia="en-GB"/>
              </w:rPr>
            </w:pPr>
            <w:r w:rsidRPr="00CB4289">
              <w:rPr>
                <w:rFonts w:cs="Arial"/>
                <w:sz w:val="20"/>
                <w:lang w:val="en-US" w:eastAsia="en-GB"/>
              </w:rPr>
              <w:t xml:space="preserve">Additions to the capital </w:t>
            </w:r>
            <w:proofErr w:type="spellStart"/>
            <w:r w:rsidRPr="00CB4289">
              <w:rPr>
                <w:rFonts w:cs="Arial"/>
                <w:sz w:val="20"/>
                <w:lang w:val="en-US" w:eastAsia="en-GB"/>
              </w:rPr>
              <w:t>programme</w:t>
            </w:r>
            <w:proofErr w:type="spellEnd"/>
            <w:r w:rsidRPr="00CB4289">
              <w:rPr>
                <w:rFonts w:cs="Arial"/>
                <w:sz w:val="20"/>
                <w:lang w:val="en-US" w:eastAsia="en-GB"/>
              </w:rPr>
              <w:t xml:space="preserve"> occur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A430D" w14:textId="30CC8DC8" w:rsidR="00CC439E" w:rsidRPr="00CC439E" w:rsidRDefault="00CC439E" w:rsidP="00CC439E">
            <w:pPr>
              <w:pStyle w:val="ListParagraph"/>
              <w:ind w:left="135"/>
              <w:rPr>
                <w:sz w:val="20"/>
              </w:rPr>
            </w:pPr>
            <w:r w:rsidRPr="00CC439E">
              <w:rPr>
                <w:rFonts w:cs="Arial"/>
                <w:sz w:val="20"/>
                <w:lang w:val="en-US" w:eastAsia="en-GB"/>
              </w:rPr>
              <w:t>Funded by additional grants and contributions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EBB17E0" w14:textId="326809B3" w:rsidR="00CC439E" w:rsidRPr="00CB4289" w:rsidRDefault="00CC439E" w:rsidP="00CC439E">
            <w:pPr>
              <w:ind w:left="567" w:right="141"/>
              <w:rPr>
                <w:rFonts w:cs="Arial"/>
                <w:sz w:val="20"/>
                <w:lang w:val="en-US" w:eastAsia="en-GB"/>
              </w:rPr>
            </w:pPr>
            <w:r w:rsidRPr="00CB4289">
              <w:rPr>
                <w:rFonts w:cs="Arial"/>
                <w:sz w:val="20"/>
                <w:lang w:val="en-US" w:eastAsia="en-GB"/>
              </w:rPr>
              <w:t>Green</w:t>
            </w:r>
          </w:p>
        </w:tc>
      </w:tr>
    </w:tbl>
    <w:p w14:paraId="0AE9056F" w14:textId="13C00067" w:rsidR="009C523F" w:rsidRPr="00541017" w:rsidRDefault="009C523F" w:rsidP="00731669">
      <w:pPr>
        <w:ind w:left="567"/>
        <w:jc w:val="both"/>
        <w:rPr>
          <w:color w:val="FF0000"/>
          <w:szCs w:val="24"/>
          <w:lang w:val="en-US"/>
        </w:rPr>
      </w:pPr>
    </w:p>
    <w:p w14:paraId="3A64D6CD" w14:textId="710E6B54" w:rsidR="002A3FEF" w:rsidRPr="00BF6CCA" w:rsidRDefault="00BC74D1" w:rsidP="00731669">
      <w:pPr>
        <w:pStyle w:val="Heading2"/>
        <w:tabs>
          <w:tab w:val="left" w:pos="567"/>
        </w:tabs>
        <w:jc w:val="both"/>
        <w:rPr>
          <w:sz w:val="24"/>
          <w:szCs w:val="24"/>
        </w:rPr>
      </w:pPr>
      <w:r w:rsidRPr="00BF6CCA">
        <w:rPr>
          <w:b w:val="0"/>
          <w:sz w:val="24"/>
          <w:szCs w:val="24"/>
        </w:rPr>
        <w:t>10</w:t>
      </w:r>
      <w:r w:rsidR="004C0103" w:rsidRPr="00BF6CCA">
        <w:rPr>
          <w:b w:val="0"/>
          <w:sz w:val="24"/>
          <w:szCs w:val="24"/>
        </w:rPr>
        <w:t>.0</w:t>
      </w:r>
      <w:r w:rsidR="004C0103" w:rsidRPr="00BF6CCA">
        <w:rPr>
          <w:sz w:val="24"/>
          <w:szCs w:val="24"/>
        </w:rPr>
        <w:tab/>
      </w:r>
      <w:r w:rsidR="002A3FEF" w:rsidRPr="00BF6CCA">
        <w:rPr>
          <w:sz w:val="24"/>
          <w:szCs w:val="24"/>
        </w:rPr>
        <w:t xml:space="preserve">Procurement Implications </w:t>
      </w:r>
    </w:p>
    <w:p w14:paraId="49913689" w14:textId="77777777" w:rsidR="005641E0" w:rsidRPr="00BF6CCA" w:rsidRDefault="005641E0" w:rsidP="00731669">
      <w:pPr>
        <w:tabs>
          <w:tab w:val="left" w:pos="567"/>
        </w:tabs>
        <w:jc w:val="both"/>
        <w:rPr>
          <w:szCs w:val="24"/>
        </w:rPr>
      </w:pPr>
    </w:p>
    <w:p w14:paraId="62E60B38" w14:textId="2393544B" w:rsidR="002A3FEF" w:rsidRPr="00BF6CCA" w:rsidRDefault="00CC3A3C" w:rsidP="00731669">
      <w:pPr>
        <w:tabs>
          <w:tab w:val="left" w:pos="567"/>
        </w:tabs>
        <w:ind w:left="567"/>
        <w:jc w:val="both"/>
        <w:rPr>
          <w:szCs w:val="24"/>
        </w:rPr>
      </w:pPr>
      <w:r w:rsidRPr="00BF6CCA">
        <w:rPr>
          <w:szCs w:val="24"/>
        </w:rPr>
        <w:t>Any procurement arising from this report will be supported by the Procurement Team and will be undertaken compliant with the Public Contract Regulations 2015 and the Council’s Contract Procedure Rules.</w:t>
      </w:r>
    </w:p>
    <w:p w14:paraId="2E49614D" w14:textId="77777777" w:rsidR="002A3FEF" w:rsidRPr="00BF6CCA" w:rsidRDefault="002A3FEF" w:rsidP="00AF66F2">
      <w:pPr>
        <w:pStyle w:val="Heading2"/>
        <w:jc w:val="both"/>
        <w:rPr>
          <w:sz w:val="24"/>
          <w:szCs w:val="24"/>
        </w:rPr>
      </w:pPr>
    </w:p>
    <w:p w14:paraId="50268769" w14:textId="7D25E6A8" w:rsidR="00333FAA" w:rsidRPr="00BF6CCA" w:rsidRDefault="000058C5" w:rsidP="00731669">
      <w:pPr>
        <w:pStyle w:val="Heading2"/>
        <w:ind w:left="567" w:hanging="567"/>
        <w:jc w:val="both"/>
        <w:rPr>
          <w:sz w:val="24"/>
          <w:szCs w:val="24"/>
        </w:rPr>
      </w:pPr>
      <w:r w:rsidRPr="00BF6CCA">
        <w:rPr>
          <w:b w:val="0"/>
          <w:sz w:val="24"/>
          <w:szCs w:val="24"/>
        </w:rPr>
        <w:t>1</w:t>
      </w:r>
      <w:r w:rsidR="00BC74D1" w:rsidRPr="00BF6CCA">
        <w:rPr>
          <w:b w:val="0"/>
          <w:sz w:val="24"/>
          <w:szCs w:val="24"/>
        </w:rPr>
        <w:t>1</w:t>
      </w:r>
      <w:r w:rsidR="00E269CF" w:rsidRPr="00BF6CCA">
        <w:rPr>
          <w:b w:val="0"/>
          <w:sz w:val="24"/>
          <w:szCs w:val="24"/>
        </w:rPr>
        <w:t>.0</w:t>
      </w:r>
      <w:r w:rsidR="00E269CF" w:rsidRPr="00BF6CCA">
        <w:rPr>
          <w:sz w:val="24"/>
          <w:szCs w:val="24"/>
        </w:rPr>
        <w:tab/>
      </w:r>
      <w:r w:rsidR="00333FAA" w:rsidRPr="00BF6CCA">
        <w:rPr>
          <w:sz w:val="24"/>
          <w:szCs w:val="24"/>
        </w:rPr>
        <w:t>Legal Implications</w:t>
      </w:r>
    </w:p>
    <w:p w14:paraId="7125A913" w14:textId="77777777" w:rsidR="005641E0" w:rsidRPr="00BF6CCA" w:rsidRDefault="005641E0" w:rsidP="00AF66F2">
      <w:pPr>
        <w:jc w:val="both"/>
        <w:rPr>
          <w:szCs w:val="24"/>
        </w:rPr>
      </w:pPr>
    </w:p>
    <w:p w14:paraId="4CD42740" w14:textId="47CD1DB9" w:rsidR="005641E0" w:rsidRDefault="005641E0" w:rsidP="00731669">
      <w:pPr>
        <w:ind w:left="567"/>
        <w:jc w:val="both"/>
        <w:rPr>
          <w:szCs w:val="24"/>
        </w:rPr>
      </w:pPr>
      <w:r w:rsidRPr="00BF6CCA">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22FA221E" w14:textId="4C90C9B4" w:rsidR="00BF6CCA" w:rsidRDefault="00BF6CCA" w:rsidP="00731669">
      <w:pPr>
        <w:ind w:left="567"/>
        <w:jc w:val="both"/>
        <w:rPr>
          <w:szCs w:val="24"/>
        </w:rPr>
      </w:pPr>
    </w:p>
    <w:p w14:paraId="6996D980" w14:textId="7600B032" w:rsidR="00BF6CCA" w:rsidRDefault="00BF6CCA" w:rsidP="00731669">
      <w:pPr>
        <w:ind w:left="567"/>
        <w:jc w:val="both"/>
        <w:rPr>
          <w:szCs w:val="24"/>
        </w:rPr>
      </w:pPr>
      <w:r>
        <w:rPr>
          <w:szCs w:val="24"/>
        </w:rPr>
        <w:t>Under the Financial Regulations B48 Additions in-year to the Capital Programme</w:t>
      </w:r>
    </w:p>
    <w:p w14:paraId="137467B3" w14:textId="73BB097A" w:rsidR="00BF6CCA" w:rsidRDefault="00BF6CCA" w:rsidP="00731669">
      <w:pPr>
        <w:ind w:left="567"/>
        <w:jc w:val="both"/>
        <w:rPr>
          <w:szCs w:val="24"/>
        </w:rPr>
      </w:pPr>
    </w:p>
    <w:p w14:paraId="69678A26" w14:textId="08DFFF53" w:rsidR="00BF6CCA" w:rsidRDefault="00BF6CCA" w:rsidP="00731669">
      <w:pPr>
        <w:ind w:left="567"/>
        <w:jc w:val="both"/>
        <w:rPr>
          <w:szCs w:val="24"/>
        </w:rPr>
      </w:pPr>
      <w:r>
        <w:rPr>
          <w:szCs w:val="24"/>
        </w:rPr>
        <w:t>Up to £5m – additional capital spending can be approved by Cabinet on specific projects where</w:t>
      </w:r>
    </w:p>
    <w:p w14:paraId="1452C6DB" w14:textId="45DAA727" w:rsidR="00BF6CCA" w:rsidRDefault="007C582D" w:rsidP="007C582D">
      <w:pPr>
        <w:pStyle w:val="ListParagraph"/>
        <w:numPr>
          <w:ilvl w:val="2"/>
          <w:numId w:val="2"/>
        </w:numPr>
        <w:jc w:val="both"/>
        <w:rPr>
          <w:szCs w:val="24"/>
        </w:rPr>
      </w:pPr>
      <w:r>
        <w:rPr>
          <w:szCs w:val="24"/>
        </w:rPr>
        <w:t>The expenditure is wholly covered by additional external sources; and</w:t>
      </w:r>
    </w:p>
    <w:p w14:paraId="704B4BC5" w14:textId="46E48960" w:rsidR="007C582D" w:rsidRDefault="007C582D" w:rsidP="007C582D">
      <w:pPr>
        <w:pStyle w:val="ListParagraph"/>
        <w:numPr>
          <w:ilvl w:val="2"/>
          <w:numId w:val="2"/>
        </w:numPr>
        <w:jc w:val="both"/>
        <w:rPr>
          <w:szCs w:val="24"/>
        </w:rPr>
      </w:pPr>
      <w:r>
        <w:rPr>
          <w:szCs w:val="24"/>
        </w:rPr>
        <w:t xml:space="preserve">The expenditure is in accordance with at least one of the priorities listed in the capital programmed; and </w:t>
      </w:r>
    </w:p>
    <w:p w14:paraId="4876F49A" w14:textId="3E72214C" w:rsidR="007C582D" w:rsidRDefault="007C582D" w:rsidP="007C582D">
      <w:pPr>
        <w:pStyle w:val="ListParagraph"/>
        <w:numPr>
          <w:ilvl w:val="2"/>
          <w:numId w:val="2"/>
        </w:numPr>
        <w:jc w:val="both"/>
        <w:rPr>
          <w:szCs w:val="24"/>
        </w:rPr>
      </w:pPr>
      <w:r>
        <w:rPr>
          <w:szCs w:val="24"/>
        </w:rPr>
        <w:t>There are no full year revenue budget effects</w:t>
      </w:r>
    </w:p>
    <w:p w14:paraId="3B7426E5" w14:textId="6F4150C6" w:rsidR="007C582D" w:rsidRDefault="007C582D" w:rsidP="007C582D">
      <w:pPr>
        <w:jc w:val="both"/>
        <w:rPr>
          <w:szCs w:val="24"/>
        </w:rPr>
      </w:pPr>
    </w:p>
    <w:p w14:paraId="37C4B4DD" w14:textId="294AA510" w:rsidR="007C582D" w:rsidRPr="007C582D" w:rsidRDefault="007C582D" w:rsidP="007C582D">
      <w:pPr>
        <w:ind w:left="567"/>
        <w:jc w:val="both"/>
        <w:rPr>
          <w:szCs w:val="24"/>
        </w:rPr>
      </w:pPr>
      <w:r>
        <w:rPr>
          <w:szCs w:val="24"/>
        </w:rPr>
        <w:t>The additional capital spending agreed by Cabinet in one financial year cannot excess £20 million.</w:t>
      </w:r>
    </w:p>
    <w:p w14:paraId="5D3C79B0" w14:textId="74152BB4" w:rsidR="00E81EEA" w:rsidRPr="00BF6CCA" w:rsidRDefault="00E81EEA" w:rsidP="00731669">
      <w:pPr>
        <w:ind w:left="567"/>
        <w:jc w:val="both"/>
        <w:rPr>
          <w:szCs w:val="24"/>
        </w:rPr>
      </w:pPr>
    </w:p>
    <w:p w14:paraId="1222B777" w14:textId="3BB3A419" w:rsidR="0054590F" w:rsidRPr="00BF6CCA" w:rsidRDefault="00E269CF" w:rsidP="00731669">
      <w:pPr>
        <w:pStyle w:val="Heading2"/>
        <w:ind w:left="567" w:hanging="567"/>
        <w:jc w:val="both"/>
        <w:rPr>
          <w:sz w:val="24"/>
          <w:szCs w:val="24"/>
        </w:rPr>
      </w:pPr>
      <w:r w:rsidRPr="00BF6CCA">
        <w:rPr>
          <w:b w:val="0"/>
          <w:sz w:val="24"/>
          <w:szCs w:val="24"/>
        </w:rPr>
        <w:t>1</w:t>
      </w:r>
      <w:r w:rsidR="00BC74D1" w:rsidRPr="00BF6CCA">
        <w:rPr>
          <w:b w:val="0"/>
          <w:sz w:val="24"/>
          <w:szCs w:val="24"/>
        </w:rPr>
        <w:t>2</w:t>
      </w:r>
      <w:r w:rsidRPr="00BF6CCA">
        <w:rPr>
          <w:b w:val="0"/>
          <w:sz w:val="24"/>
          <w:szCs w:val="24"/>
        </w:rPr>
        <w:t>.0</w:t>
      </w:r>
      <w:r w:rsidRPr="00BF6CCA">
        <w:rPr>
          <w:sz w:val="24"/>
          <w:szCs w:val="24"/>
        </w:rPr>
        <w:tab/>
      </w:r>
      <w:r w:rsidR="00333FAA" w:rsidRPr="00BF6CCA">
        <w:rPr>
          <w:sz w:val="24"/>
          <w:szCs w:val="24"/>
        </w:rPr>
        <w:t>Financial Implications</w:t>
      </w:r>
    </w:p>
    <w:p w14:paraId="58E51DB5" w14:textId="77777777" w:rsidR="0054590F" w:rsidRPr="00BF6CCA" w:rsidRDefault="00E269CF" w:rsidP="00731669">
      <w:pPr>
        <w:tabs>
          <w:tab w:val="left" w:pos="709"/>
        </w:tabs>
        <w:ind w:left="567" w:hanging="567"/>
        <w:jc w:val="both"/>
        <w:rPr>
          <w:szCs w:val="24"/>
        </w:rPr>
      </w:pPr>
      <w:r w:rsidRPr="00BF6CCA">
        <w:rPr>
          <w:szCs w:val="24"/>
        </w:rPr>
        <w:tab/>
      </w:r>
      <w:r w:rsidR="005641E0" w:rsidRPr="00BF6CCA">
        <w:rPr>
          <w:szCs w:val="24"/>
        </w:rPr>
        <w:t>Financial matters are integral to this report.</w:t>
      </w:r>
    </w:p>
    <w:p w14:paraId="68B17B8C" w14:textId="77777777" w:rsidR="001C7E35" w:rsidRPr="00BF6CCA" w:rsidRDefault="001C7E35" w:rsidP="00AF66F2">
      <w:pPr>
        <w:pStyle w:val="Heading2"/>
        <w:jc w:val="both"/>
        <w:rPr>
          <w:sz w:val="24"/>
          <w:szCs w:val="24"/>
        </w:rPr>
      </w:pPr>
    </w:p>
    <w:p w14:paraId="7BDD9F0B" w14:textId="42F58AC2" w:rsidR="00333FAA" w:rsidRPr="00BF6CCA" w:rsidRDefault="00E269CF" w:rsidP="00731669">
      <w:pPr>
        <w:pStyle w:val="Heading2"/>
        <w:keepNext/>
        <w:ind w:left="567" w:hanging="567"/>
        <w:jc w:val="both"/>
        <w:rPr>
          <w:sz w:val="24"/>
          <w:szCs w:val="24"/>
        </w:rPr>
      </w:pPr>
      <w:r w:rsidRPr="00BF6CCA">
        <w:rPr>
          <w:b w:val="0"/>
          <w:sz w:val="24"/>
          <w:szCs w:val="24"/>
        </w:rPr>
        <w:t>1</w:t>
      </w:r>
      <w:r w:rsidR="00BC74D1" w:rsidRPr="00BF6CCA">
        <w:rPr>
          <w:b w:val="0"/>
          <w:sz w:val="24"/>
          <w:szCs w:val="24"/>
        </w:rPr>
        <w:t>3.</w:t>
      </w:r>
      <w:r w:rsidRPr="00BF6CCA">
        <w:rPr>
          <w:b w:val="0"/>
          <w:sz w:val="24"/>
          <w:szCs w:val="24"/>
        </w:rPr>
        <w:t>0</w:t>
      </w:r>
      <w:r w:rsidRPr="00BF6CCA">
        <w:rPr>
          <w:sz w:val="24"/>
          <w:szCs w:val="24"/>
        </w:rPr>
        <w:tab/>
      </w:r>
      <w:r w:rsidR="00333FAA" w:rsidRPr="00BF6CCA">
        <w:rPr>
          <w:sz w:val="24"/>
          <w:szCs w:val="24"/>
        </w:rPr>
        <w:t>Equalities implications</w:t>
      </w:r>
      <w:r w:rsidR="001C7E35" w:rsidRPr="00BF6CCA">
        <w:rPr>
          <w:sz w:val="24"/>
          <w:szCs w:val="24"/>
        </w:rPr>
        <w:t xml:space="preserve"> </w:t>
      </w:r>
      <w:r w:rsidR="00333FAA" w:rsidRPr="00BF6CCA">
        <w:rPr>
          <w:sz w:val="24"/>
          <w:szCs w:val="24"/>
        </w:rPr>
        <w:t>/</w:t>
      </w:r>
      <w:r w:rsidR="001C7E35" w:rsidRPr="00BF6CCA">
        <w:rPr>
          <w:sz w:val="24"/>
          <w:szCs w:val="24"/>
        </w:rPr>
        <w:t xml:space="preserve"> </w:t>
      </w:r>
      <w:r w:rsidR="00333FAA" w:rsidRPr="00BF6CCA">
        <w:rPr>
          <w:sz w:val="24"/>
          <w:szCs w:val="24"/>
        </w:rPr>
        <w:t>Public Sector Equality Duty</w:t>
      </w:r>
    </w:p>
    <w:p w14:paraId="2187A39A" w14:textId="77777777" w:rsidR="00990FE6" w:rsidRPr="00BF6CCA" w:rsidRDefault="00990FE6" w:rsidP="00731669">
      <w:pPr>
        <w:ind w:left="567" w:hanging="567"/>
      </w:pPr>
    </w:p>
    <w:p w14:paraId="5D5B50CF" w14:textId="22DC888A" w:rsidR="00731669" w:rsidRPr="00BF6CCA" w:rsidRDefault="00731669" w:rsidP="00731669">
      <w:pPr>
        <w:ind w:left="567" w:hanging="567"/>
      </w:pPr>
      <w:r w:rsidRPr="00BF6CCA">
        <w:t xml:space="preserve">13.1 </w:t>
      </w:r>
      <w:r w:rsidR="00990FE6" w:rsidRPr="00BF6CCA">
        <w:t>Decision makers should have due regard to the public sector equality duty in making their decisions. The equalities duties are continuing duties they are not duties to secure a particular outcome. The equalities impact will be revisited on each of the</w:t>
      </w:r>
      <w:r w:rsidR="00372313" w:rsidRPr="00BF6CCA">
        <w:t xml:space="preserve"> budget</w:t>
      </w:r>
      <w:r w:rsidR="00990FE6" w:rsidRPr="00BF6CCA">
        <w:t xml:space="preserve"> proposals as they are developed. Consideration of the duties should prec</w:t>
      </w:r>
      <w:r w:rsidR="00C75F94" w:rsidRPr="00BF6CCA">
        <w:t xml:space="preserve">ede </w:t>
      </w:r>
      <w:r w:rsidR="00990FE6" w:rsidRPr="00BF6CCA">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BF6CCA" w:rsidRDefault="00731669" w:rsidP="00731669">
      <w:pPr>
        <w:ind w:left="567" w:hanging="567"/>
      </w:pPr>
    </w:p>
    <w:p w14:paraId="7B11E615" w14:textId="1589DE9E" w:rsidR="00990FE6" w:rsidRPr="00BF6CCA" w:rsidRDefault="00731669" w:rsidP="00731669">
      <w:pPr>
        <w:ind w:left="567" w:hanging="567"/>
      </w:pPr>
      <w:r w:rsidRPr="00BF6CCA">
        <w:lastRenderedPageBreak/>
        <w:t xml:space="preserve">13.2 </w:t>
      </w:r>
      <w:r w:rsidR="00990FE6" w:rsidRPr="00BF6CCA">
        <w:t>A public authority must, in the exercise of its functions, have due regard to the need to:</w:t>
      </w:r>
    </w:p>
    <w:p w14:paraId="568C4E6B" w14:textId="77777777" w:rsidR="00F17392" w:rsidRPr="00BF6CCA" w:rsidRDefault="00F17392" w:rsidP="00F17392">
      <w:pPr>
        <w:ind w:left="709"/>
      </w:pPr>
    </w:p>
    <w:p w14:paraId="78B4BCD2" w14:textId="3BF81D73" w:rsidR="00990FE6" w:rsidRPr="00BF6CCA" w:rsidRDefault="00990FE6" w:rsidP="00AF06B3">
      <w:pPr>
        <w:pStyle w:val="ListParagraph"/>
        <w:numPr>
          <w:ilvl w:val="0"/>
          <w:numId w:val="6"/>
        </w:numPr>
        <w:ind w:hanging="578"/>
      </w:pPr>
      <w:r w:rsidRPr="00BF6CCA">
        <w:t xml:space="preserve">eliminate discrimination, harassment, </w:t>
      </w:r>
      <w:r w:rsidR="009A55D3" w:rsidRPr="00BF6CCA">
        <w:t>victimisation,</w:t>
      </w:r>
      <w:r w:rsidRPr="00BF6CCA">
        <w:t xml:space="preserve"> and any other conduct that is prohibited by or under this Act;</w:t>
      </w:r>
    </w:p>
    <w:p w14:paraId="48BCB49B" w14:textId="1A723A80" w:rsidR="00990FE6" w:rsidRPr="00BF6CCA" w:rsidRDefault="00990FE6" w:rsidP="00AF06B3">
      <w:pPr>
        <w:pStyle w:val="ListParagraph"/>
        <w:numPr>
          <w:ilvl w:val="0"/>
          <w:numId w:val="6"/>
        </w:numPr>
        <w:ind w:hanging="578"/>
      </w:pPr>
      <w:r w:rsidRPr="00BF6CCA">
        <w:t>advance equality of opportunity between persons who share a relevant protected characteristic and persons who do not share it;</w:t>
      </w:r>
    </w:p>
    <w:p w14:paraId="0A6982F1" w14:textId="2B3AFF97" w:rsidR="00990FE6" w:rsidRPr="00BF6CCA" w:rsidRDefault="00990FE6" w:rsidP="00AF06B3">
      <w:pPr>
        <w:pStyle w:val="ListParagraph"/>
        <w:numPr>
          <w:ilvl w:val="0"/>
          <w:numId w:val="6"/>
        </w:numPr>
        <w:ind w:hanging="578"/>
      </w:pPr>
      <w:r w:rsidRPr="00BF6CCA">
        <w:t>Foster good relations between persons who share a relevant protected characteristic and persons who do not share it.</w:t>
      </w:r>
    </w:p>
    <w:p w14:paraId="39FA844C" w14:textId="77777777" w:rsidR="00560DEF" w:rsidRPr="00BF6CCA" w:rsidRDefault="00560DEF" w:rsidP="009B2C8F">
      <w:pPr>
        <w:pStyle w:val="ListParagraph"/>
        <w:ind w:left="1429"/>
      </w:pPr>
    </w:p>
    <w:p w14:paraId="0CD108DB" w14:textId="2B8AC1F7" w:rsidR="00990FE6" w:rsidRPr="00BF6CCA" w:rsidRDefault="00731669" w:rsidP="00731669">
      <w:pPr>
        <w:ind w:left="720" w:hanging="720"/>
      </w:pPr>
      <w:r w:rsidRPr="00BF6CCA">
        <w:t>13.2</w:t>
      </w:r>
      <w:r w:rsidRPr="00BF6CCA">
        <w:tab/>
      </w:r>
      <w:r w:rsidR="00990FE6" w:rsidRPr="00BF6CCA">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BF6CCA" w:rsidRDefault="00560DEF" w:rsidP="00F17392">
      <w:pPr>
        <w:ind w:left="709"/>
      </w:pPr>
    </w:p>
    <w:p w14:paraId="4A4D80F7" w14:textId="116C1B73" w:rsidR="00990FE6" w:rsidRPr="00BF6CCA" w:rsidRDefault="00990FE6" w:rsidP="00AF06B3">
      <w:pPr>
        <w:pStyle w:val="ListParagraph"/>
        <w:numPr>
          <w:ilvl w:val="0"/>
          <w:numId w:val="7"/>
        </w:numPr>
        <w:ind w:hanging="578"/>
      </w:pPr>
      <w:r w:rsidRPr="00BF6CCA">
        <w:t>remove or minimise disadvantages suffered by persons who share a relevant protected characteristic that are connected to that characteristic;</w:t>
      </w:r>
    </w:p>
    <w:p w14:paraId="1A59618B" w14:textId="7B65CB36" w:rsidR="00990FE6" w:rsidRPr="00BF6CCA" w:rsidRDefault="00990FE6" w:rsidP="00AF06B3">
      <w:pPr>
        <w:pStyle w:val="ListParagraph"/>
        <w:numPr>
          <w:ilvl w:val="0"/>
          <w:numId w:val="7"/>
        </w:numPr>
        <w:ind w:hanging="578"/>
      </w:pPr>
      <w:r w:rsidRPr="00BF6CCA">
        <w:t>take steps to meet the needs of persons who share a relevant protected characteristic that are different from the needs of persons who do not share it;</w:t>
      </w:r>
    </w:p>
    <w:p w14:paraId="03CFB31B" w14:textId="77777777" w:rsidR="000942BF" w:rsidRPr="00BF6CCA" w:rsidRDefault="00990FE6" w:rsidP="00AF06B3">
      <w:pPr>
        <w:pStyle w:val="ListParagraph"/>
        <w:numPr>
          <w:ilvl w:val="0"/>
          <w:numId w:val="7"/>
        </w:numPr>
        <w:ind w:hanging="578"/>
      </w:pPr>
      <w:r w:rsidRPr="00BF6CCA">
        <w:t>Encourage persons who share a relevant protected characteristic to participate in public life or in any other activity in which participation by such persons is disproportionately low.</w:t>
      </w:r>
    </w:p>
    <w:p w14:paraId="04A8CDF0" w14:textId="77777777" w:rsidR="000942BF" w:rsidRPr="00BF6CCA" w:rsidRDefault="00990FE6" w:rsidP="00AF06B3">
      <w:pPr>
        <w:pStyle w:val="ListParagraph"/>
        <w:numPr>
          <w:ilvl w:val="0"/>
          <w:numId w:val="7"/>
        </w:numPr>
        <w:ind w:hanging="578"/>
      </w:pPr>
      <w:r w:rsidRPr="00BF6CCA">
        <w:t>The steps involved in meeting the needs of disabled persons that are different from the needs of persons who are not disabled include, in particular, steps to take account of disabled persons’ disabilities.</w:t>
      </w:r>
    </w:p>
    <w:p w14:paraId="5128BA33" w14:textId="039EF850" w:rsidR="00990FE6" w:rsidRPr="00BF6CCA" w:rsidRDefault="00990FE6" w:rsidP="00AF06B3">
      <w:pPr>
        <w:pStyle w:val="ListParagraph"/>
        <w:numPr>
          <w:ilvl w:val="0"/>
          <w:numId w:val="7"/>
        </w:numPr>
        <w:ind w:hanging="578"/>
      </w:pPr>
      <w:r w:rsidRPr="00BF6CCA">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BF6CCA" w:rsidRDefault="00990FE6" w:rsidP="00AF06B3">
      <w:pPr>
        <w:pStyle w:val="ListParagraph"/>
        <w:numPr>
          <w:ilvl w:val="0"/>
          <w:numId w:val="9"/>
        </w:numPr>
        <w:ind w:hanging="578"/>
      </w:pPr>
      <w:r w:rsidRPr="00BF6CCA">
        <w:t>Tackle prejudice, and</w:t>
      </w:r>
    </w:p>
    <w:p w14:paraId="0B398716" w14:textId="3788BD7E" w:rsidR="00990FE6" w:rsidRPr="00BF6CCA" w:rsidRDefault="00990FE6" w:rsidP="00AF06B3">
      <w:pPr>
        <w:pStyle w:val="ListParagraph"/>
        <w:numPr>
          <w:ilvl w:val="0"/>
          <w:numId w:val="8"/>
        </w:numPr>
        <w:ind w:hanging="578"/>
      </w:pPr>
      <w:r w:rsidRPr="00BF6CCA">
        <w:t>Promote understanding.</w:t>
      </w:r>
    </w:p>
    <w:p w14:paraId="34E6AD96" w14:textId="77777777" w:rsidR="007C5702" w:rsidRPr="00BF6CCA" w:rsidRDefault="007C5702" w:rsidP="007C5702">
      <w:pPr>
        <w:pStyle w:val="ListParagraph"/>
        <w:ind w:left="1429"/>
      </w:pPr>
    </w:p>
    <w:p w14:paraId="38FFFD95" w14:textId="053FF494" w:rsidR="00990FE6" w:rsidRPr="00BF6CCA" w:rsidRDefault="00731669" w:rsidP="00731669">
      <w:pPr>
        <w:ind w:left="720" w:hanging="720"/>
      </w:pPr>
      <w:r w:rsidRPr="00BF6CCA">
        <w:t>13.3</w:t>
      </w:r>
      <w:r w:rsidRPr="00BF6CCA">
        <w:tab/>
      </w:r>
      <w:r w:rsidR="00990FE6" w:rsidRPr="00BF6CCA">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BF6CCA" w:rsidRDefault="00990FE6" w:rsidP="00AF06B3">
      <w:pPr>
        <w:pStyle w:val="ListParagraph"/>
        <w:numPr>
          <w:ilvl w:val="1"/>
          <w:numId w:val="23"/>
        </w:numPr>
        <w:ind w:left="1418" w:hanging="567"/>
      </w:pPr>
      <w:r w:rsidRPr="00BF6CCA">
        <w:t>Age</w:t>
      </w:r>
    </w:p>
    <w:p w14:paraId="2ED037E6" w14:textId="601FF25C" w:rsidR="00990FE6" w:rsidRPr="00BF6CCA" w:rsidRDefault="00990FE6" w:rsidP="00AF06B3">
      <w:pPr>
        <w:pStyle w:val="ListParagraph"/>
        <w:numPr>
          <w:ilvl w:val="1"/>
          <w:numId w:val="23"/>
        </w:numPr>
        <w:ind w:left="1418" w:hanging="567"/>
      </w:pPr>
      <w:r w:rsidRPr="00BF6CCA">
        <w:t>Disability</w:t>
      </w:r>
    </w:p>
    <w:p w14:paraId="04FD4D12" w14:textId="097260BF" w:rsidR="00990FE6" w:rsidRPr="00BF6CCA" w:rsidRDefault="00990FE6" w:rsidP="00AF06B3">
      <w:pPr>
        <w:pStyle w:val="ListParagraph"/>
        <w:numPr>
          <w:ilvl w:val="1"/>
          <w:numId w:val="23"/>
        </w:numPr>
        <w:ind w:left="1418" w:hanging="567"/>
      </w:pPr>
      <w:r w:rsidRPr="00BF6CCA">
        <w:t>Gender reassignment</w:t>
      </w:r>
    </w:p>
    <w:p w14:paraId="04826F34" w14:textId="22B91C44" w:rsidR="00990FE6" w:rsidRPr="00BF6CCA" w:rsidRDefault="00990FE6" w:rsidP="00AF06B3">
      <w:pPr>
        <w:pStyle w:val="ListParagraph"/>
        <w:numPr>
          <w:ilvl w:val="1"/>
          <w:numId w:val="23"/>
        </w:numPr>
        <w:ind w:left="1418" w:hanging="567"/>
      </w:pPr>
      <w:r w:rsidRPr="00BF6CCA">
        <w:t>Pregnancy and maternity</w:t>
      </w:r>
    </w:p>
    <w:p w14:paraId="1AF0D231" w14:textId="00BBA8A8" w:rsidR="00990FE6" w:rsidRPr="00BF6CCA" w:rsidRDefault="00990FE6" w:rsidP="00AF06B3">
      <w:pPr>
        <w:pStyle w:val="ListParagraph"/>
        <w:numPr>
          <w:ilvl w:val="1"/>
          <w:numId w:val="23"/>
        </w:numPr>
        <w:ind w:left="1418" w:hanging="567"/>
      </w:pPr>
      <w:r w:rsidRPr="00BF6CCA">
        <w:t>Race,</w:t>
      </w:r>
    </w:p>
    <w:p w14:paraId="23BC7366" w14:textId="5F71374B" w:rsidR="00990FE6" w:rsidRPr="00BF6CCA" w:rsidRDefault="00990FE6" w:rsidP="00AF06B3">
      <w:pPr>
        <w:pStyle w:val="ListParagraph"/>
        <w:numPr>
          <w:ilvl w:val="1"/>
          <w:numId w:val="23"/>
        </w:numPr>
        <w:ind w:left="1418" w:hanging="567"/>
      </w:pPr>
      <w:r w:rsidRPr="00BF6CCA">
        <w:t>Religion or belief</w:t>
      </w:r>
    </w:p>
    <w:p w14:paraId="0FA3E27B" w14:textId="2A8A71CF" w:rsidR="00990FE6" w:rsidRPr="00BF6CCA" w:rsidRDefault="00990FE6" w:rsidP="00AF06B3">
      <w:pPr>
        <w:pStyle w:val="ListParagraph"/>
        <w:numPr>
          <w:ilvl w:val="1"/>
          <w:numId w:val="23"/>
        </w:numPr>
        <w:ind w:left="1418" w:hanging="567"/>
      </w:pPr>
      <w:r w:rsidRPr="00BF6CCA">
        <w:t>Sex</w:t>
      </w:r>
    </w:p>
    <w:p w14:paraId="1D3434AB" w14:textId="499A98AD" w:rsidR="00990FE6" w:rsidRPr="00BF6CCA" w:rsidRDefault="00990FE6" w:rsidP="00AF06B3">
      <w:pPr>
        <w:pStyle w:val="ListParagraph"/>
        <w:numPr>
          <w:ilvl w:val="1"/>
          <w:numId w:val="23"/>
        </w:numPr>
        <w:ind w:left="1418" w:hanging="567"/>
      </w:pPr>
      <w:r w:rsidRPr="00BF6CCA">
        <w:t>Sexual orientation</w:t>
      </w:r>
    </w:p>
    <w:p w14:paraId="76D54F7F" w14:textId="47728CC4" w:rsidR="00990FE6" w:rsidRPr="00BF6CCA" w:rsidRDefault="00990FE6" w:rsidP="00AF06B3">
      <w:pPr>
        <w:pStyle w:val="ListParagraph"/>
        <w:numPr>
          <w:ilvl w:val="1"/>
          <w:numId w:val="23"/>
        </w:numPr>
        <w:ind w:left="1418" w:hanging="567"/>
      </w:pPr>
      <w:r w:rsidRPr="00BF6CCA">
        <w:t>Marriage and Civil partnership</w:t>
      </w:r>
    </w:p>
    <w:p w14:paraId="6F2E1C32" w14:textId="77777777" w:rsidR="00990FE6" w:rsidRPr="00BF6CCA" w:rsidRDefault="00990FE6" w:rsidP="00990FE6"/>
    <w:p w14:paraId="184DB03F" w14:textId="73A6E57B" w:rsidR="007163A8" w:rsidRPr="00EE5E76" w:rsidRDefault="00731669" w:rsidP="007163A8">
      <w:pPr>
        <w:rPr>
          <w:szCs w:val="24"/>
        </w:rPr>
      </w:pPr>
      <w:r w:rsidRPr="00BF6CCA">
        <w:rPr>
          <w:szCs w:val="24"/>
        </w:rPr>
        <w:lastRenderedPageBreak/>
        <w:t>13.4</w:t>
      </w:r>
      <w:r w:rsidRPr="00BF6CCA">
        <w:rPr>
          <w:szCs w:val="24"/>
        </w:rPr>
        <w:tab/>
      </w:r>
      <w:r w:rsidR="005641E0" w:rsidRPr="00EE5E76">
        <w:rPr>
          <w:szCs w:val="24"/>
        </w:rPr>
        <w:t>Eq</w:t>
      </w:r>
      <w:r w:rsidR="007647E7" w:rsidRPr="00EE5E76">
        <w:rPr>
          <w:szCs w:val="24"/>
        </w:rPr>
        <w:t>uality assessment</w:t>
      </w:r>
      <w:r w:rsidR="005641E0" w:rsidRPr="00EE5E76">
        <w:rPr>
          <w:szCs w:val="24"/>
        </w:rPr>
        <w:t xml:space="preserve">s were undertaken </w:t>
      </w:r>
      <w:r w:rsidR="003001F1" w:rsidRPr="00EE5E76">
        <w:rPr>
          <w:szCs w:val="24"/>
        </w:rPr>
        <w:t>for the budget proposals agreed by Council</w:t>
      </w:r>
      <w:r w:rsidR="005641E0" w:rsidRPr="00EE5E76">
        <w:rPr>
          <w:szCs w:val="24"/>
        </w:rPr>
        <w:t xml:space="preserve"> listed as part of the MTFS process and an overall </w:t>
      </w:r>
      <w:r w:rsidR="007647E7" w:rsidRPr="00EE5E76">
        <w:rPr>
          <w:szCs w:val="24"/>
        </w:rPr>
        <w:t>e</w:t>
      </w:r>
      <w:r w:rsidR="005641E0" w:rsidRPr="00EE5E76">
        <w:rPr>
          <w:szCs w:val="24"/>
        </w:rPr>
        <w:t>q</w:t>
      </w:r>
      <w:r w:rsidR="007647E7" w:rsidRPr="00EE5E76">
        <w:rPr>
          <w:szCs w:val="24"/>
        </w:rPr>
        <w:t>uality assessment</w:t>
      </w:r>
      <w:r w:rsidR="005641E0" w:rsidRPr="00EE5E76">
        <w:rPr>
          <w:szCs w:val="24"/>
        </w:rPr>
        <w:t xml:space="preserve"> was undertaken on the MTFS. </w:t>
      </w:r>
    </w:p>
    <w:p w14:paraId="21EA8B97" w14:textId="77777777" w:rsidR="00325251" w:rsidRPr="00EE5E76" w:rsidRDefault="00325251" w:rsidP="00731669">
      <w:pPr>
        <w:ind w:left="709" w:hanging="709"/>
        <w:jc w:val="both"/>
        <w:rPr>
          <w:szCs w:val="24"/>
        </w:rPr>
      </w:pPr>
    </w:p>
    <w:p w14:paraId="47BCC815" w14:textId="77777777" w:rsidR="00333FAA" w:rsidRPr="00EE5E76" w:rsidRDefault="00333FAA" w:rsidP="00333FAA">
      <w:pPr>
        <w:pStyle w:val="Heading1"/>
        <w:keepNext/>
      </w:pPr>
      <w:r w:rsidRPr="00EE5E76">
        <w:t>Section 3 - Statutory Officer Clearance</w:t>
      </w:r>
    </w:p>
    <w:p w14:paraId="3054B45B" w14:textId="77777777" w:rsidR="00333FAA" w:rsidRPr="00EE5E76" w:rsidRDefault="00333FAA" w:rsidP="00333FAA">
      <w:pPr>
        <w:keepNext/>
        <w:rPr>
          <w:rFonts w:cs="Arial"/>
        </w:rPr>
      </w:pPr>
    </w:p>
    <w:p w14:paraId="408922F9" w14:textId="28830072" w:rsidR="00166B73" w:rsidRPr="00EE5E76" w:rsidRDefault="00166B73" w:rsidP="00166B73">
      <w:pPr>
        <w:rPr>
          <w:sz w:val="28"/>
        </w:rPr>
      </w:pPr>
      <w:r w:rsidRPr="00EE5E76">
        <w:rPr>
          <w:b/>
          <w:sz w:val="28"/>
        </w:rPr>
        <w:t xml:space="preserve">Statutory Officer:  </w:t>
      </w:r>
      <w:r w:rsidR="00BF6CCA" w:rsidRPr="00EE5E76">
        <w:rPr>
          <w:b/>
          <w:sz w:val="28"/>
        </w:rPr>
        <w:t>Sharon Daniels</w:t>
      </w:r>
    </w:p>
    <w:p w14:paraId="680F7289" w14:textId="19D361BC" w:rsidR="00166B73" w:rsidRPr="00EE5E76" w:rsidRDefault="00166B73" w:rsidP="00166B73">
      <w:r w:rsidRPr="00EE5E76">
        <w:t xml:space="preserve">Signed by the </w:t>
      </w:r>
      <w:r w:rsidR="00BF6CCA" w:rsidRPr="00EE5E76">
        <w:t xml:space="preserve">Interim </w:t>
      </w:r>
      <w:r w:rsidRPr="00EE5E76">
        <w:t>Chief Financial Officer</w:t>
      </w:r>
    </w:p>
    <w:p w14:paraId="0AD3F108" w14:textId="4D54EED0" w:rsidR="00166B73" w:rsidRPr="00EE5E76" w:rsidRDefault="00166B73" w:rsidP="00166B73">
      <w:pPr>
        <w:spacing w:after="480"/>
        <w:rPr>
          <w:sz w:val="28"/>
        </w:rPr>
      </w:pPr>
      <w:r w:rsidRPr="00EE5E76">
        <w:rPr>
          <w:b/>
          <w:sz w:val="28"/>
        </w:rPr>
        <w:t xml:space="preserve">Date:  </w:t>
      </w:r>
      <w:r w:rsidR="00C87A1B" w:rsidRPr="00EE5E76">
        <w:rPr>
          <w:b/>
          <w:sz w:val="28"/>
        </w:rPr>
        <w:t>18/8/23</w:t>
      </w:r>
    </w:p>
    <w:p w14:paraId="7FD2824A" w14:textId="6E421B90" w:rsidR="00166B73" w:rsidRPr="00EE5E76" w:rsidRDefault="00166B73" w:rsidP="00166B73">
      <w:pPr>
        <w:rPr>
          <w:sz w:val="28"/>
        </w:rPr>
      </w:pPr>
      <w:r w:rsidRPr="00EE5E76">
        <w:rPr>
          <w:b/>
          <w:sz w:val="28"/>
        </w:rPr>
        <w:t>Statutory Officer:  Jessica Farmer</w:t>
      </w:r>
    </w:p>
    <w:p w14:paraId="49DD4E8A" w14:textId="187395D3" w:rsidR="00166B73" w:rsidRPr="00EE5E76" w:rsidRDefault="00166B73" w:rsidP="00166B73">
      <w:r w:rsidRPr="00EE5E76">
        <w:t xml:space="preserve">Signed </w:t>
      </w:r>
      <w:r w:rsidR="00BF6CCA" w:rsidRPr="00EE5E76">
        <w:t>by</w:t>
      </w:r>
      <w:r w:rsidRPr="00EE5E76">
        <w:t xml:space="preserve"> the Monitoring Officer</w:t>
      </w:r>
    </w:p>
    <w:p w14:paraId="0A1EC408" w14:textId="5D8AB502" w:rsidR="00166B73" w:rsidRPr="00EE5E76" w:rsidRDefault="00166B73" w:rsidP="00166B73">
      <w:pPr>
        <w:spacing w:after="480"/>
        <w:rPr>
          <w:sz w:val="28"/>
        </w:rPr>
      </w:pPr>
      <w:r w:rsidRPr="00EE5E76">
        <w:rPr>
          <w:b/>
          <w:sz w:val="28"/>
        </w:rPr>
        <w:t xml:space="preserve">Date:  </w:t>
      </w:r>
      <w:r w:rsidR="00C87A1B" w:rsidRPr="00EE5E76">
        <w:rPr>
          <w:b/>
          <w:sz w:val="28"/>
        </w:rPr>
        <w:t>16/8/23</w:t>
      </w:r>
    </w:p>
    <w:p w14:paraId="59531151" w14:textId="6415E3A6" w:rsidR="00166B73" w:rsidRPr="00EE5E76" w:rsidRDefault="00166B73" w:rsidP="00166B73">
      <w:pPr>
        <w:rPr>
          <w:sz w:val="28"/>
        </w:rPr>
      </w:pPr>
      <w:r w:rsidRPr="00EE5E76">
        <w:rPr>
          <w:b/>
          <w:sz w:val="28"/>
        </w:rPr>
        <w:t xml:space="preserve">Chief Officer:  </w:t>
      </w:r>
      <w:r w:rsidR="00BF6CCA" w:rsidRPr="00EE5E76">
        <w:rPr>
          <w:b/>
          <w:sz w:val="28"/>
        </w:rPr>
        <w:t>Alex Dewsnap</w:t>
      </w:r>
    </w:p>
    <w:p w14:paraId="62CC2E6C" w14:textId="3F9E79BA" w:rsidR="00166B73" w:rsidRPr="00EE5E76" w:rsidRDefault="00166B73" w:rsidP="00166B73">
      <w:r w:rsidRPr="00EE5E76">
        <w:t>Signed off by</w:t>
      </w:r>
      <w:r w:rsidR="00F805C8" w:rsidRPr="00EE5E76">
        <w:t xml:space="preserve"> the</w:t>
      </w:r>
      <w:r w:rsidRPr="00EE5E76">
        <w:t xml:space="preserve"> </w:t>
      </w:r>
      <w:r w:rsidR="00BF6CCA" w:rsidRPr="00EE5E76">
        <w:t>Managing Director</w:t>
      </w:r>
    </w:p>
    <w:p w14:paraId="7969C720" w14:textId="7CBB9678" w:rsidR="00166B73" w:rsidRPr="00EE5E76" w:rsidRDefault="00166B73" w:rsidP="00166B73">
      <w:pPr>
        <w:spacing w:after="480"/>
        <w:rPr>
          <w:sz w:val="28"/>
        </w:rPr>
      </w:pPr>
      <w:r w:rsidRPr="00EE5E76">
        <w:rPr>
          <w:b/>
          <w:sz w:val="28"/>
        </w:rPr>
        <w:t xml:space="preserve">Date:  </w:t>
      </w:r>
      <w:r w:rsidR="00EE5E76" w:rsidRPr="00EE5E76">
        <w:rPr>
          <w:b/>
          <w:sz w:val="28"/>
        </w:rPr>
        <w:t>29/8/23</w:t>
      </w:r>
    </w:p>
    <w:p w14:paraId="6A09054B" w14:textId="76E9B250" w:rsidR="00166B73" w:rsidRPr="00EE5E76" w:rsidRDefault="00166B73" w:rsidP="00166B73">
      <w:pPr>
        <w:rPr>
          <w:sz w:val="28"/>
        </w:rPr>
      </w:pPr>
      <w:r w:rsidRPr="00EE5E76">
        <w:rPr>
          <w:b/>
          <w:sz w:val="28"/>
        </w:rPr>
        <w:t>Head of Procurement:  Nimesh Mehta</w:t>
      </w:r>
    </w:p>
    <w:p w14:paraId="771CF306" w14:textId="094E6871" w:rsidR="00166B73" w:rsidRPr="00EE5E76" w:rsidRDefault="00166B73" w:rsidP="00166B73">
      <w:r w:rsidRPr="00EE5E76">
        <w:t xml:space="preserve">Signed </w:t>
      </w:r>
      <w:r w:rsidR="00EE5E76" w:rsidRPr="00EE5E76">
        <w:t xml:space="preserve">on behalf of </w:t>
      </w:r>
      <w:r w:rsidRPr="00EE5E76">
        <w:t>Head of Procurement</w:t>
      </w:r>
    </w:p>
    <w:p w14:paraId="72B6B1A2" w14:textId="2CB0CAA2" w:rsidR="00166B73" w:rsidRPr="00EE5E76" w:rsidRDefault="00166B73" w:rsidP="00166B73">
      <w:pPr>
        <w:spacing w:after="480"/>
        <w:rPr>
          <w:sz w:val="28"/>
        </w:rPr>
      </w:pPr>
      <w:r w:rsidRPr="00EE5E76">
        <w:rPr>
          <w:b/>
          <w:sz w:val="28"/>
        </w:rPr>
        <w:t xml:space="preserve">Date: </w:t>
      </w:r>
      <w:r w:rsidR="00EE5E76" w:rsidRPr="00EE5E76">
        <w:rPr>
          <w:b/>
          <w:sz w:val="28"/>
        </w:rPr>
        <w:t>23/08/23</w:t>
      </w:r>
    </w:p>
    <w:p w14:paraId="65C97688" w14:textId="2FDF3E5B" w:rsidR="00166B73" w:rsidRPr="00EE5E76" w:rsidRDefault="00166B73" w:rsidP="00166B73">
      <w:pPr>
        <w:rPr>
          <w:sz w:val="28"/>
        </w:rPr>
      </w:pPr>
      <w:r w:rsidRPr="00EE5E76">
        <w:rPr>
          <w:b/>
          <w:sz w:val="28"/>
        </w:rPr>
        <w:t xml:space="preserve">Head of Internal Audit:  </w:t>
      </w:r>
      <w:r w:rsidR="004F76A3" w:rsidRPr="00EE5E76">
        <w:rPr>
          <w:b/>
          <w:sz w:val="28"/>
        </w:rPr>
        <w:t>Neale Burns</w:t>
      </w:r>
    </w:p>
    <w:p w14:paraId="7CD521C9" w14:textId="62537D31" w:rsidR="00166B73" w:rsidRPr="00EE5E76" w:rsidRDefault="00166B73" w:rsidP="00166B73">
      <w:r w:rsidRPr="00EE5E76">
        <w:t xml:space="preserve">Signed </w:t>
      </w:r>
      <w:r w:rsidR="004F76A3" w:rsidRPr="00EE5E76">
        <w:t xml:space="preserve">on behalf of </w:t>
      </w:r>
      <w:r w:rsidRPr="00EE5E76">
        <w:t>the Head of Internal Audit</w:t>
      </w:r>
    </w:p>
    <w:p w14:paraId="7CF8A8F1" w14:textId="462BBEDA" w:rsidR="00166B73" w:rsidRDefault="00166B73" w:rsidP="00166B73">
      <w:pPr>
        <w:pStyle w:val="Heading2"/>
        <w:spacing w:after="240"/>
      </w:pPr>
      <w:r w:rsidRPr="00EE5E76">
        <w:t>Date:</w:t>
      </w:r>
      <w:r w:rsidR="00800A69" w:rsidRPr="00EE5E76">
        <w:t xml:space="preserve"> </w:t>
      </w:r>
      <w:r w:rsidR="00103DDF" w:rsidRPr="00EE5E76">
        <w:t>21/08/23</w:t>
      </w:r>
    </w:p>
    <w:p w14:paraId="7BB906E6" w14:textId="586E3FAF" w:rsidR="004A03B6" w:rsidRDefault="004A03B6" w:rsidP="004A03B6">
      <w:pPr>
        <w:spacing w:after="480"/>
        <w:rPr>
          <w:b/>
          <w:bCs/>
        </w:rPr>
      </w:pPr>
      <w:r>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Pr>
          <w:b/>
          <w:bCs/>
          <w:sz w:val="28"/>
        </w:rPr>
        <w:t xml:space="preserve"> </w:t>
      </w:r>
    </w:p>
    <w:p w14:paraId="34A45030" w14:textId="77777777" w:rsidR="00166B73" w:rsidRPr="00F805C8" w:rsidRDefault="00166B73" w:rsidP="00166B73">
      <w:pPr>
        <w:pStyle w:val="Heading2"/>
        <w:spacing w:before="480" w:after="240"/>
      </w:pPr>
      <w:r w:rsidRPr="00F805C8">
        <w:t>Mandatory Checks</w:t>
      </w:r>
    </w:p>
    <w:p w14:paraId="1EA50314" w14:textId="7724211E" w:rsidR="00166B73" w:rsidRPr="00F805C8" w:rsidRDefault="00166B73" w:rsidP="00166B73">
      <w:pPr>
        <w:pStyle w:val="Heading3"/>
        <w:ind w:left="0" w:firstLine="0"/>
        <w:jc w:val="left"/>
      </w:pPr>
      <w:r w:rsidRPr="00F805C8">
        <w:t xml:space="preserve">Ward Councillors notified:   NO as it impacts on all Wards </w:t>
      </w:r>
    </w:p>
    <w:p w14:paraId="6B92AC5A" w14:textId="2B1418E8" w:rsidR="00166B73" w:rsidRPr="00F805C8" w:rsidRDefault="00166B73" w:rsidP="001143BC">
      <w:pPr>
        <w:pStyle w:val="Heading3"/>
        <w:spacing w:before="240"/>
      </w:pPr>
      <w:proofErr w:type="spellStart"/>
      <w:r w:rsidRPr="00F805C8">
        <w:t>EqIA</w:t>
      </w:r>
      <w:proofErr w:type="spellEnd"/>
      <w:r w:rsidRPr="00F805C8">
        <w:t xml:space="preserve"> carried out:  NO</w:t>
      </w:r>
    </w:p>
    <w:p w14:paraId="0A0F3F9E" w14:textId="77777777" w:rsidR="002548D1" w:rsidRPr="00F805C8" w:rsidRDefault="002548D1" w:rsidP="00333FAA"/>
    <w:p w14:paraId="0608363E" w14:textId="77777777" w:rsidR="00333FAA" w:rsidRPr="00F805C8" w:rsidRDefault="00333FAA" w:rsidP="00333FAA">
      <w:pPr>
        <w:pStyle w:val="Heading1"/>
        <w:keepNext/>
      </w:pPr>
      <w:r w:rsidRPr="00F805C8">
        <w:t xml:space="preserve">Section </w:t>
      </w:r>
      <w:r w:rsidR="00A20113" w:rsidRPr="00F805C8">
        <w:t>4</w:t>
      </w:r>
      <w:r w:rsidRPr="00F805C8">
        <w:t xml:space="preserve"> - Contact Details and Background Papers</w:t>
      </w:r>
    </w:p>
    <w:p w14:paraId="04159197" w14:textId="77777777" w:rsidR="00333FAA" w:rsidRPr="00F805C8" w:rsidRDefault="00333FAA" w:rsidP="00333FAA">
      <w:pPr>
        <w:keepNext/>
        <w:rPr>
          <w:rFonts w:cs="Arial"/>
        </w:rPr>
      </w:pPr>
    </w:p>
    <w:p w14:paraId="02BC8A13" w14:textId="2E12C9E4" w:rsidR="00CA2FF3" w:rsidRPr="00F805C8" w:rsidRDefault="00333FAA" w:rsidP="00CA2FF3">
      <w:pPr>
        <w:pStyle w:val="Infotext"/>
        <w:rPr>
          <w:bCs/>
        </w:rPr>
      </w:pPr>
      <w:r w:rsidRPr="00F805C8">
        <w:rPr>
          <w:b/>
        </w:rPr>
        <w:t xml:space="preserve">Contact:  </w:t>
      </w:r>
      <w:r w:rsidR="00CA2FF3" w:rsidRPr="00F805C8">
        <w:rPr>
          <w:bCs/>
        </w:rPr>
        <w:t xml:space="preserve">Sharon </w:t>
      </w:r>
      <w:r w:rsidR="005C7899" w:rsidRPr="00F805C8">
        <w:rPr>
          <w:bCs/>
        </w:rPr>
        <w:t xml:space="preserve">Daniels, </w:t>
      </w:r>
      <w:r w:rsidR="00F805C8" w:rsidRPr="00F805C8">
        <w:rPr>
          <w:bCs/>
        </w:rPr>
        <w:t>Interim Director of Finance &amp; Assurance</w:t>
      </w:r>
      <w:r w:rsidR="00CA2FF3" w:rsidRPr="00F805C8">
        <w:rPr>
          <w:bCs/>
        </w:rPr>
        <w:t xml:space="preserve"> (S151</w:t>
      </w:r>
      <w:r w:rsidR="00F805C8" w:rsidRPr="00F805C8">
        <w:rPr>
          <w:bCs/>
        </w:rPr>
        <w:t xml:space="preserve"> Officer</w:t>
      </w:r>
      <w:r w:rsidR="00CA2FF3" w:rsidRPr="00F805C8">
        <w:rPr>
          <w:bCs/>
        </w:rPr>
        <w:t xml:space="preserve">), Telephone 020 8424 1332, </w:t>
      </w:r>
      <w:hyperlink r:id="rId18" w:history="1">
        <w:r w:rsidR="00F805C8" w:rsidRPr="00E1580B">
          <w:rPr>
            <w:rStyle w:val="Hyperlink"/>
            <w:bCs/>
          </w:rPr>
          <w:t>Sharon.Daniels@harrow.gov.uk</w:t>
        </w:r>
      </w:hyperlink>
      <w:r w:rsidR="00F805C8">
        <w:rPr>
          <w:bCs/>
        </w:rPr>
        <w:t xml:space="preserve"> </w:t>
      </w:r>
    </w:p>
    <w:p w14:paraId="198C40B3" w14:textId="333B9172" w:rsidR="00F805C8" w:rsidRDefault="00F805C8" w:rsidP="00CC3A3C">
      <w:pPr>
        <w:pStyle w:val="Infotext"/>
        <w:spacing w:after="240"/>
        <w:rPr>
          <w:b/>
        </w:rPr>
      </w:pPr>
    </w:p>
    <w:p w14:paraId="0F4787A7" w14:textId="77777777" w:rsidR="004A03B6" w:rsidRDefault="004A03B6" w:rsidP="00CC3A3C">
      <w:pPr>
        <w:pStyle w:val="Infotext"/>
        <w:spacing w:after="240"/>
        <w:rPr>
          <w:b/>
        </w:rPr>
      </w:pPr>
    </w:p>
    <w:p w14:paraId="1D63A09E" w14:textId="78B6D813" w:rsidR="00CC3A3C" w:rsidRPr="00F805C8" w:rsidRDefault="00CC3A3C" w:rsidP="00CC3A3C">
      <w:pPr>
        <w:pStyle w:val="Infotext"/>
        <w:spacing w:after="240"/>
        <w:rPr>
          <w:b/>
        </w:rPr>
      </w:pPr>
      <w:r w:rsidRPr="00F805C8">
        <w:rPr>
          <w:b/>
        </w:rPr>
        <w:t xml:space="preserve">Background Papers:  </w:t>
      </w:r>
    </w:p>
    <w:p w14:paraId="6F756ABF" w14:textId="4AEB06DD" w:rsidR="00AF06B3" w:rsidRPr="004A03B6" w:rsidRDefault="004A03B6" w:rsidP="004A03B6">
      <w:pPr>
        <w:pStyle w:val="Infotext"/>
        <w:spacing w:after="240"/>
        <w:rPr>
          <w:bCs/>
          <w:u w:val="single"/>
        </w:rPr>
      </w:pPr>
      <w:hyperlink r:id="rId19" w:history="1">
        <w:r w:rsidR="00AF06B3" w:rsidRPr="00F805C8">
          <w:rPr>
            <w:rStyle w:val="Hyperlink"/>
            <w:bCs/>
            <w:color w:val="auto"/>
          </w:rPr>
          <w:t xml:space="preserve">Final Revenue Budget </w:t>
        </w:r>
        <w:r w:rsidR="00F805C8" w:rsidRPr="00F805C8">
          <w:rPr>
            <w:rStyle w:val="Hyperlink"/>
            <w:bCs/>
            <w:color w:val="auto"/>
          </w:rPr>
          <w:t>2023/24</w:t>
        </w:r>
        <w:r w:rsidR="00AF06B3" w:rsidRPr="00F805C8">
          <w:rPr>
            <w:rStyle w:val="Hyperlink"/>
            <w:bCs/>
            <w:color w:val="auto"/>
          </w:rPr>
          <w:t xml:space="preserve"> and </w:t>
        </w:r>
        <w:r w:rsidR="00F805C8" w:rsidRPr="00F805C8">
          <w:rPr>
            <w:rStyle w:val="Hyperlink"/>
            <w:bCs/>
            <w:color w:val="auto"/>
          </w:rPr>
          <w:t xml:space="preserve">Final </w:t>
        </w:r>
        <w:r w:rsidR="00AF06B3" w:rsidRPr="00F805C8">
          <w:rPr>
            <w:rStyle w:val="Hyperlink"/>
            <w:bCs/>
            <w:color w:val="auto"/>
          </w:rPr>
          <w:t>Medium</w:t>
        </w:r>
        <w:r w:rsidR="00F805C8" w:rsidRPr="00F805C8">
          <w:rPr>
            <w:rStyle w:val="Hyperlink"/>
            <w:bCs/>
            <w:color w:val="auto"/>
          </w:rPr>
          <w:t xml:space="preserve"> </w:t>
        </w:r>
        <w:r w:rsidR="00AF06B3" w:rsidRPr="00F805C8">
          <w:rPr>
            <w:rStyle w:val="Hyperlink"/>
            <w:bCs/>
            <w:color w:val="auto"/>
          </w:rPr>
          <w:t>Term Financial Strategy 202</w:t>
        </w:r>
        <w:r w:rsidR="00F805C8" w:rsidRPr="00F805C8">
          <w:rPr>
            <w:rStyle w:val="Hyperlink"/>
            <w:bCs/>
            <w:color w:val="auto"/>
          </w:rPr>
          <w:t>3/24</w:t>
        </w:r>
        <w:r w:rsidR="00AF06B3" w:rsidRPr="00F805C8">
          <w:rPr>
            <w:rStyle w:val="Hyperlink"/>
            <w:bCs/>
            <w:color w:val="auto"/>
          </w:rPr>
          <w:t xml:space="preserve"> to 202</w:t>
        </w:r>
        <w:r w:rsidR="00F805C8" w:rsidRPr="00F805C8">
          <w:rPr>
            <w:rStyle w:val="Hyperlink"/>
            <w:bCs/>
            <w:color w:val="auto"/>
          </w:rPr>
          <w:t>5</w:t>
        </w:r>
        <w:r w:rsidR="00AF06B3" w:rsidRPr="00F805C8">
          <w:rPr>
            <w:rStyle w:val="Hyperlink"/>
            <w:bCs/>
            <w:color w:val="auto"/>
          </w:rPr>
          <w:t>/2</w:t>
        </w:r>
        <w:r w:rsidR="00F805C8" w:rsidRPr="00F805C8">
          <w:rPr>
            <w:rStyle w:val="Hyperlink"/>
            <w:bCs/>
            <w:color w:val="auto"/>
          </w:rPr>
          <w:t>6</w:t>
        </w:r>
        <w:r w:rsidR="00AF06B3" w:rsidRPr="00F805C8">
          <w:rPr>
            <w:rStyle w:val="Hyperlink"/>
            <w:bCs/>
            <w:color w:val="auto"/>
          </w:rPr>
          <w:t xml:space="preserve"> Report</w:t>
        </w:r>
      </w:hyperlink>
      <w:r w:rsidR="00AF06B3" w:rsidRPr="00F805C8">
        <w:rPr>
          <w:bCs/>
        </w:rPr>
        <w:t xml:space="preserve"> </w:t>
      </w:r>
    </w:p>
    <w:p w14:paraId="254EE70C" w14:textId="1A0A1FAB" w:rsidR="00CC3A3C" w:rsidRPr="00F805C8" w:rsidRDefault="00CC3A3C" w:rsidP="001143BC">
      <w:pPr>
        <w:pStyle w:val="Infotext"/>
        <w:spacing w:before="480"/>
        <w:rPr>
          <w:rFonts w:cs="Arial"/>
          <w:i/>
          <w:sz w:val="24"/>
          <w:szCs w:val="24"/>
          <w:lang w:eastAsia="en-GB"/>
        </w:rPr>
      </w:pPr>
      <w:r w:rsidRPr="00F805C8">
        <w:rPr>
          <w:rFonts w:ascii="Arial Black" w:hAnsi="Arial Black"/>
        </w:rPr>
        <w:t>Call-in waived by the Chair of Overview and Scrutiny Committee</w:t>
      </w:r>
      <w:r w:rsidR="001143BC" w:rsidRPr="00F805C8">
        <w:rPr>
          <w:rFonts w:ascii="Arial Black" w:hAnsi="Arial Black"/>
        </w:rPr>
        <w:t xml:space="preserve"> - </w:t>
      </w:r>
      <w:r w:rsidRPr="00F805C8">
        <w:rPr>
          <w:b/>
        </w:rPr>
        <w:t xml:space="preserve">NO </w:t>
      </w:r>
    </w:p>
    <w:p w14:paraId="315548C7" w14:textId="77777777" w:rsidR="00333FAA" w:rsidRPr="00F805C8" w:rsidRDefault="00333FAA" w:rsidP="00333FAA">
      <w:pPr>
        <w:pStyle w:val="Infotext"/>
        <w:rPr>
          <w:b/>
        </w:rPr>
      </w:pPr>
    </w:p>
    <w:p w14:paraId="095648BD" w14:textId="77777777" w:rsidR="000176F7" w:rsidRPr="00541017" w:rsidRDefault="000176F7" w:rsidP="00AF66F2">
      <w:pPr>
        <w:jc w:val="both"/>
        <w:rPr>
          <w:color w:val="FF0000"/>
        </w:rPr>
      </w:pPr>
    </w:p>
    <w:p w14:paraId="6E3FA006" w14:textId="77777777" w:rsidR="00705694" w:rsidRPr="00B37833" w:rsidRDefault="00705694" w:rsidP="00AF66F2">
      <w:pPr>
        <w:jc w:val="both"/>
        <w:rPr>
          <w:b/>
          <w:color w:val="FF0000"/>
          <w:highlight w:val="yellow"/>
          <w:u w:val="single"/>
        </w:rPr>
      </w:pPr>
    </w:p>
    <w:p w14:paraId="6786392D" w14:textId="77777777" w:rsidR="00705694" w:rsidRPr="00B37833" w:rsidRDefault="00705694" w:rsidP="00AF66F2">
      <w:pPr>
        <w:jc w:val="both"/>
        <w:rPr>
          <w:b/>
          <w:color w:val="FF0000"/>
          <w:highlight w:val="yellow"/>
          <w:u w:val="single"/>
        </w:rPr>
      </w:pPr>
    </w:p>
    <w:p w14:paraId="581E2F9B" w14:textId="77777777" w:rsidR="00705694" w:rsidRPr="00B37833" w:rsidRDefault="00705694" w:rsidP="00AF66F2">
      <w:pPr>
        <w:jc w:val="both"/>
        <w:rPr>
          <w:b/>
          <w:color w:val="FF0000"/>
          <w:highlight w:val="yellow"/>
          <w:u w:val="single"/>
        </w:rPr>
      </w:pPr>
    </w:p>
    <w:p w14:paraId="5F5742C3" w14:textId="77777777" w:rsidR="00705694" w:rsidRPr="00B37833" w:rsidRDefault="00705694" w:rsidP="00AF66F2">
      <w:pPr>
        <w:jc w:val="both"/>
        <w:rPr>
          <w:b/>
          <w:color w:val="FF0000"/>
          <w:highlight w:val="yellow"/>
          <w:u w:val="single"/>
        </w:rPr>
      </w:pPr>
    </w:p>
    <w:p w14:paraId="414093E1" w14:textId="77777777" w:rsidR="00705694" w:rsidRPr="00B37833" w:rsidRDefault="00705694" w:rsidP="00AF66F2">
      <w:pPr>
        <w:jc w:val="both"/>
        <w:rPr>
          <w:b/>
          <w:color w:val="FF0000"/>
          <w:highlight w:val="yellow"/>
          <w:u w:val="single"/>
        </w:rPr>
      </w:pPr>
    </w:p>
    <w:p w14:paraId="7789718F" w14:textId="77777777" w:rsidR="00705694" w:rsidRPr="00B37833" w:rsidRDefault="00705694" w:rsidP="00AF66F2">
      <w:pPr>
        <w:jc w:val="both"/>
        <w:rPr>
          <w:b/>
          <w:color w:val="FF0000"/>
          <w:highlight w:val="yellow"/>
          <w:u w:val="single"/>
        </w:rPr>
      </w:pPr>
    </w:p>
    <w:p w14:paraId="33736D9C" w14:textId="77777777" w:rsidR="00705694" w:rsidRPr="00B37833" w:rsidRDefault="00705694" w:rsidP="00AF66F2">
      <w:pPr>
        <w:jc w:val="both"/>
        <w:rPr>
          <w:b/>
          <w:color w:val="FF0000"/>
          <w:highlight w:val="yellow"/>
          <w:u w:val="single"/>
        </w:rPr>
      </w:pPr>
    </w:p>
    <w:p w14:paraId="445044AE" w14:textId="77777777" w:rsidR="00705694" w:rsidRPr="00B37833" w:rsidRDefault="00705694" w:rsidP="00AF66F2">
      <w:pPr>
        <w:jc w:val="both"/>
        <w:rPr>
          <w:b/>
          <w:color w:val="FF0000"/>
          <w:highlight w:val="yellow"/>
          <w:u w:val="single"/>
        </w:rPr>
      </w:pPr>
    </w:p>
    <w:p w14:paraId="49B2F127" w14:textId="1B492586" w:rsidR="000D4E36" w:rsidRPr="00B37833" w:rsidRDefault="000D4E36" w:rsidP="00AF66F2">
      <w:pPr>
        <w:jc w:val="both"/>
        <w:rPr>
          <w:color w:val="FF0000"/>
        </w:rPr>
      </w:pPr>
    </w:p>
    <w:sectPr w:rsidR="000D4E36" w:rsidRPr="00B37833" w:rsidSect="003C7F2F">
      <w:headerReference w:type="default" r:id="rId20"/>
      <w:footerReference w:type="default" r:id="rId21"/>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F5CD" w14:textId="77777777" w:rsidR="005D1273" w:rsidRDefault="005D1273">
      <w:r>
        <w:separator/>
      </w:r>
    </w:p>
  </w:endnote>
  <w:endnote w:type="continuationSeparator" w:id="0">
    <w:p w14:paraId="6B539B3D" w14:textId="77777777" w:rsidR="005D1273" w:rsidRDefault="005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4A03B6">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44C" w14:textId="77777777" w:rsidR="005D1273" w:rsidRDefault="005D1273">
      <w:r>
        <w:separator/>
      </w:r>
    </w:p>
  </w:footnote>
  <w:footnote w:type="continuationSeparator" w:id="0">
    <w:p w14:paraId="6651ED34" w14:textId="77777777" w:rsidR="005D1273" w:rsidRDefault="005D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5B27FE"/>
    <w:multiLevelType w:val="hybridMultilevel"/>
    <w:tmpl w:val="E19490A2"/>
    <w:lvl w:ilvl="0" w:tplc="2B56F3D8">
      <w:start w:val="1"/>
      <w:numFmt w:val="decimal"/>
      <w:lvlText w:val="%1."/>
      <w:lvlJc w:val="left"/>
      <w:pPr>
        <w:ind w:left="1440" w:hanging="360"/>
      </w:pPr>
    </w:lvl>
    <w:lvl w:ilvl="1" w:tplc="2A3232C6">
      <w:start w:val="1"/>
      <w:numFmt w:val="decimal"/>
      <w:lvlText w:val="%2."/>
      <w:lvlJc w:val="left"/>
      <w:pPr>
        <w:ind w:left="1440" w:hanging="360"/>
      </w:pPr>
    </w:lvl>
    <w:lvl w:ilvl="2" w:tplc="5F4668E4">
      <w:start w:val="1"/>
      <w:numFmt w:val="decimal"/>
      <w:lvlText w:val="%3."/>
      <w:lvlJc w:val="left"/>
      <w:pPr>
        <w:ind w:left="1440" w:hanging="360"/>
      </w:pPr>
    </w:lvl>
    <w:lvl w:ilvl="3" w:tplc="9266D3E8">
      <w:start w:val="1"/>
      <w:numFmt w:val="decimal"/>
      <w:lvlText w:val="%4."/>
      <w:lvlJc w:val="left"/>
      <w:pPr>
        <w:ind w:left="1440" w:hanging="360"/>
      </w:pPr>
    </w:lvl>
    <w:lvl w:ilvl="4" w:tplc="F742506C">
      <w:start w:val="1"/>
      <w:numFmt w:val="decimal"/>
      <w:lvlText w:val="%5."/>
      <w:lvlJc w:val="left"/>
      <w:pPr>
        <w:ind w:left="1440" w:hanging="360"/>
      </w:pPr>
    </w:lvl>
    <w:lvl w:ilvl="5" w:tplc="A14212AA">
      <w:start w:val="1"/>
      <w:numFmt w:val="decimal"/>
      <w:lvlText w:val="%6."/>
      <w:lvlJc w:val="left"/>
      <w:pPr>
        <w:ind w:left="1440" w:hanging="360"/>
      </w:pPr>
    </w:lvl>
    <w:lvl w:ilvl="6" w:tplc="763C53DA">
      <w:start w:val="1"/>
      <w:numFmt w:val="decimal"/>
      <w:lvlText w:val="%7."/>
      <w:lvlJc w:val="left"/>
      <w:pPr>
        <w:ind w:left="1440" w:hanging="360"/>
      </w:pPr>
    </w:lvl>
    <w:lvl w:ilvl="7" w:tplc="4C5E3CF2">
      <w:start w:val="1"/>
      <w:numFmt w:val="decimal"/>
      <w:lvlText w:val="%8."/>
      <w:lvlJc w:val="left"/>
      <w:pPr>
        <w:ind w:left="1440" w:hanging="360"/>
      </w:pPr>
    </w:lvl>
    <w:lvl w:ilvl="8" w:tplc="9B324122">
      <w:start w:val="1"/>
      <w:numFmt w:val="decimal"/>
      <w:lvlText w:val="%9."/>
      <w:lvlJc w:val="left"/>
      <w:pPr>
        <w:ind w:left="1440" w:hanging="360"/>
      </w:pPr>
    </w:lvl>
  </w:abstractNum>
  <w:abstractNum w:abstractNumId="4"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16FC0"/>
    <w:multiLevelType w:val="hybridMultilevel"/>
    <w:tmpl w:val="9892B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FD54BB"/>
    <w:multiLevelType w:val="hybridMultilevel"/>
    <w:tmpl w:val="C0D427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C36E0F"/>
    <w:multiLevelType w:val="hybridMultilevel"/>
    <w:tmpl w:val="F6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1" w15:restartNumberingAfterBreak="0">
    <w:nsid w:val="271E66F6"/>
    <w:multiLevelType w:val="hybridMultilevel"/>
    <w:tmpl w:val="4D62087C"/>
    <w:lvl w:ilvl="0" w:tplc="C64CCF5E">
      <w:start w:val="1"/>
      <w:numFmt w:val="bullet"/>
      <w:lvlText w:val=""/>
      <w:lvlJc w:val="left"/>
      <w:pPr>
        <w:ind w:left="1440" w:hanging="360"/>
      </w:pPr>
      <w:rPr>
        <w:rFonts w:ascii="Symbol" w:hAnsi="Symbol"/>
      </w:rPr>
    </w:lvl>
    <w:lvl w:ilvl="1" w:tplc="D29649EC">
      <w:start w:val="1"/>
      <w:numFmt w:val="bullet"/>
      <w:lvlText w:val=""/>
      <w:lvlJc w:val="left"/>
      <w:pPr>
        <w:ind w:left="1440" w:hanging="360"/>
      </w:pPr>
      <w:rPr>
        <w:rFonts w:ascii="Symbol" w:hAnsi="Symbol"/>
      </w:rPr>
    </w:lvl>
    <w:lvl w:ilvl="2" w:tplc="5CD2769A">
      <w:start w:val="1"/>
      <w:numFmt w:val="bullet"/>
      <w:lvlText w:val=""/>
      <w:lvlJc w:val="left"/>
      <w:pPr>
        <w:ind w:left="1440" w:hanging="360"/>
      </w:pPr>
      <w:rPr>
        <w:rFonts w:ascii="Symbol" w:hAnsi="Symbol"/>
      </w:rPr>
    </w:lvl>
    <w:lvl w:ilvl="3" w:tplc="6F2EA4A8">
      <w:start w:val="1"/>
      <w:numFmt w:val="bullet"/>
      <w:lvlText w:val=""/>
      <w:lvlJc w:val="left"/>
      <w:pPr>
        <w:ind w:left="1440" w:hanging="360"/>
      </w:pPr>
      <w:rPr>
        <w:rFonts w:ascii="Symbol" w:hAnsi="Symbol"/>
      </w:rPr>
    </w:lvl>
    <w:lvl w:ilvl="4" w:tplc="3F60BF24">
      <w:start w:val="1"/>
      <w:numFmt w:val="bullet"/>
      <w:lvlText w:val=""/>
      <w:lvlJc w:val="left"/>
      <w:pPr>
        <w:ind w:left="1440" w:hanging="360"/>
      </w:pPr>
      <w:rPr>
        <w:rFonts w:ascii="Symbol" w:hAnsi="Symbol"/>
      </w:rPr>
    </w:lvl>
    <w:lvl w:ilvl="5" w:tplc="63B0DF52">
      <w:start w:val="1"/>
      <w:numFmt w:val="bullet"/>
      <w:lvlText w:val=""/>
      <w:lvlJc w:val="left"/>
      <w:pPr>
        <w:ind w:left="1440" w:hanging="360"/>
      </w:pPr>
      <w:rPr>
        <w:rFonts w:ascii="Symbol" w:hAnsi="Symbol"/>
      </w:rPr>
    </w:lvl>
    <w:lvl w:ilvl="6" w:tplc="DB782562">
      <w:start w:val="1"/>
      <w:numFmt w:val="bullet"/>
      <w:lvlText w:val=""/>
      <w:lvlJc w:val="left"/>
      <w:pPr>
        <w:ind w:left="1440" w:hanging="360"/>
      </w:pPr>
      <w:rPr>
        <w:rFonts w:ascii="Symbol" w:hAnsi="Symbol"/>
      </w:rPr>
    </w:lvl>
    <w:lvl w:ilvl="7" w:tplc="A46E7E98">
      <w:start w:val="1"/>
      <w:numFmt w:val="bullet"/>
      <w:lvlText w:val=""/>
      <w:lvlJc w:val="left"/>
      <w:pPr>
        <w:ind w:left="1440" w:hanging="360"/>
      </w:pPr>
      <w:rPr>
        <w:rFonts w:ascii="Symbol" w:hAnsi="Symbol"/>
      </w:rPr>
    </w:lvl>
    <w:lvl w:ilvl="8" w:tplc="2FC61B16">
      <w:start w:val="1"/>
      <w:numFmt w:val="bullet"/>
      <w:lvlText w:val=""/>
      <w:lvlJc w:val="left"/>
      <w:pPr>
        <w:ind w:left="1440" w:hanging="360"/>
      </w:pPr>
      <w:rPr>
        <w:rFonts w:ascii="Symbol" w:hAnsi="Symbol"/>
      </w:rPr>
    </w:lvl>
  </w:abstractNum>
  <w:abstractNum w:abstractNumId="1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E212B7"/>
    <w:multiLevelType w:val="multilevel"/>
    <w:tmpl w:val="7E32CE4C"/>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6"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57757E"/>
    <w:multiLevelType w:val="multilevel"/>
    <w:tmpl w:val="DF3A3FEE"/>
    <w:lvl w:ilvl="0">
      <w:start w:val="3"/>
      <w:numFmt w:val="decimal"/>
      <w:lvlText w:val="%1"/>
      <w:lvlJc w:val="left"/>
      <w:pPr>
        <w:ind w:left="460" w:hanging="460"/>
      </w:pPr>
    </w:lvl>
    <w:lvl w:ilvl="1">
      <w:start w:val="20"/>
      <w:numFmt w:val="decimal"/>
      <w:lvlText w:val="%1.%2"/>
      <w:lvlJc w:val="left"/>
      <w:pPr>
        <w:ind w:left="460" w:hanging="460"/>
      </w:pPr>
      <w:rPr>
        <w:b w:val="0"/>
        <w:bCs/>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386581"/>
    <w:multiLevelType w:val="multilevel"/>
    <w:tmpl w:val="C73A700C"/>
    <w:lvl w:ilvl="0">
      <w:start w:val="2"/>
      <w:numFmt w:val="decimal"/>
      <w:lvlText w:val="%1"/>
      <w:lvlJc w:val="left"/>
      <w:pPr>
        <w:ind w:left="460" w:hanging="460"/>
      </w:pPr>
      <w:rPr>
        <w:rFonts w:hint="default"/>
        <w:b w:val="0"/>
      </w:rPr>
    </w:lvl>
    <w:lvl w:ilvl="1">
      <w:start w:val="53"/>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6625DC"/>
    <w:multiLevelType w:val="hybridMultilevel"/>
    <w:tmpl w:val="155CA964"/>
    <w:lvl w:ilvl="0" w:tplc="0FEAC234">
      <w:numFmt w:val="decimal"/>
      <w:lvlText w:val="2.%1"/>
      <w:lvlJc w:val="left"/>
      <w:pPr>
        <w:ind w:left="502"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66A2A"/>
    <w:multiLevelType w:val="hybridMultilevel"/>
    <w:tmpl w:val="BE2C0D44"/>
    <w:lvl w:ilvl="0" w:tplc="D6C60C90">
      <w:numFmt w:val="decimal"/>
      <w:lvlText w:val="3.%1"/>
      <w:lvlJc w:val="left"/>
      <w:pPr>
        <w:ind w:left="1211"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4A5AAF5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412936"/>
    <w:multiLevelType w:val="multilevel"/>
    <w:tmpl w:val="85188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697707040">
    <w:abstractNumId w:val="1"/>
  </w:num>
  <w:num w:numId="2" w16cid:durableId="2123962531">
    <w:abstractNumId w:val="25"/>
  </w:num>
  <w:num w:numId="3" w16cid:durableId="1249389886">
    <w:abstractNumId w:val="10"/>
  </w:num>
  <w:num w:numId="4" w16cid:durableId="939263696">
    <w:abstractNumId w:val="22"/>
  </w:num>
  <w:num w:numId="5" w16cid:durableId="178735888">
    <w:abstractNumId w:val="15"/>
  </w:num>
  <w:num w:numId="6" w16cid:durableId="1614560026">
    <w:abstractNumId w:val="23"/>
  </w:num>
  <w:num w:numId="7" w16cid:durableId="110590616">
    <w:abstractNumId w:val="12"/>
  </w:num>
  <w:num w:numId="8" w16cid:durableId="1327633633">
    <w:abstractNumId w:val="31"/>
  </w:num>
  <w:num w:numId="9" w16cid:durableId="1417359208">
    <w:abstractNumId w:val="28"/>
  </w:num>
  <w:num w:numId="10" w16cid:durableId="1387606859">
    <w:abstractNumId w:val="13"/>
  </w:num>
  <w:num w:numId="11" w16cid:durableId="1263219130">
    <w:abstractNumId w:val="2"/>
  </w:num>
  <w:num w:numId="12" w16cid:durableId="678002040">
    <w:abstractNumId w:val="18"/>
  </w:num>
  <w:num w:numId="13" w16cid:durableId="1580627292">
    <w:abstractNumId w:val="16"/>
  </w:num>
  <w:num w:numId="14" w16cid:durableId="1919048924">
    <w:abstractNumId w:val="14"/>
  </w:num>
  <w:num w:numId="15" w16cid:durableId="95563455">
    <w:abstractNumId w:val="19"/>
  </w:num>
  <w:num w:numId="16" w16cid:durableId="595871863">
    <w:abstractNumId w:val="27"/>
  </w:num>
  <w:num w:numId="17" w16cid:durableId="1273324138">
    <w:abstractNumId w:val="24"/>
  </w:num>
  <w:num w:numId="18" w16cid:durableId="867451324">
    <w:abstractNumId w:val="30"/>
  </w:num>
  <w:num w:numId="19" w16cid:durableId="1501503739">
    <w:abstractNumId w:val="17"/>
  </w:num>
  <w:num w:numId="20" w16cid:durableId="892304814">
    <w:abstractNumId w:val="29"/>
  </w:num>
  <w:num w:numId="21" w16cid:durableId="536701045">
    <w:abstractNumId w:val="21"/>
  </w:num>
  <w:num w:numId="22" w16cid:durableId="1854487623">
    <w:abstractNumId w:val="9"/>
  </w:num>
  <w:num w:numId="23" w16cid:durableId="1719011551">
    <w:abstractNumId w:val="6"/>
  </w:num>
  <w:num w:numId="24" w16cid:durableId="1994748667">
    <w:abstractNumId w:val="8"/>
  </w:num>
  <w:num w:numId="25" w16cid:durableId="936013883">
    <w:abstractNumId w:val="4"/>
  </w:num>
  <w:num w:numId="26" w16cid:durableId="720249629">
    <w:abstractNumId w:val="0"/>
  </w:num>
  <w:num w:numId="27" w16cid:durableId="27881032">
    <w:abstractNumId w:val="5"/>
  </w:num>
  <w:num w:numId="28" w16cid:durableId="1320041768">
    <w:abstractNumId w:val="26"/>
  </w:num>
  <w:num w:numId="29" w16cid:durableId="1136722216">
    <w:abstractNumId w:val="7"/>
  </w:num>
  <w:num w:numId="30" w16cid:durableId="113519288">
    <w:abstractNumId w:val="3"/>
  </w:num>
  <w:num w:numId="31" w16cid:durableId="834539790">
    <w:abstractNumId w:val="11"/>
  </w:num>
  <w:num w:numId="32" w16cid:durableId="21890367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0A4C"/>
    <w:rsid w:val="000011EA"/>
    <w:rsid w:val="00002908"/>
    <w:rsid w:val="0000413A"/>
    <w:rsid w:val="00004286"/>
    <w:rsid w:val="000058C5"/>
    <w:rsid w:val="00005F26"/>
    <w:rsid w:val="00007FDF"/>
    <w:rsid w:val="00012042"/>
    <w:rsid w:val="00012758"/>
    <w:rsid w:val="00013D39"/>
    <w:rsid w:val="000142E6"/>
    <w:rsid w:val="00014A43"/>
    <w:rsid w:val="0001555A"/>
    <w:rsid w:val="000176F7"/>
    <w:rsid w:val="00021610"/>
    <w:rsid w:val="00021CD0"/>
    <w:rsid w:val="0002245A"/>
    <w:rsid w:val="00022532"/>
    <w:rsid w:val="00024A5C"/>
    <w:rsid w:val="00025844"/>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5698E"/>
    <w:rsid w:val="0006034E"/>
    <w:rsid w:val="00060F0D"/>
    <w:rsid w:val="00061479"/>
    <w:rsid w:val="000626B0"/>
    <w:rsid w:val="00063783"/>
    <w:rsid w:val="00063D00"/>
    <w:rsid w:val="000645AE"/>
    <w:rsid w:val="00064988"/>
    <w:rsid w:val="00066267"/>
    <w:rsid w:val="00070FDB"/>
    <w:rsid w:val="00071D3E"/>
    <w:rsid w:val="00072CAD"/>
    <w:rsid w:val="00072D88"/>
    <w:rsid w:val="000735B3"/>
    <w:rsid w:val="00073765"/>
    <w:rsid w:val="00073986"/>
    <w:rsid w:val="00074AE3"/>
    <w:rsid w:val="0007562B"/>
    <w:rsid w:val="00075ABD"/>
    <w:rsid w:val="00076BFB"/>
    <w:rsid w:val="00076D24"/>
    <w:rsid w:val="000800ED"/>
    <w:rsid w:val="00082F83"/>
    <w:rsid w:val="00083283"/>
    <w:rsid w:val="000860A6"/>
    <w:rsid w:val="0008678F"/>
    <w:rsid w:val="00087368"/>
    <w:rsid w:val="00091547"/>
    <w:rsid w:val="000929A6"/>
    <w:rsid w:val="00094111"/>
    <w:rsid w:val="000942BF"/>
    <w:rsid w:val="0009656D"/>
    <w:rsid w:val="00096A83"/>
    <w:rsid w:val="000A1625"/>
    <w:rsid w:val="000A2CB3"/>
    <w:rsid w:val="000A2CD5"/>
    <w:rsid w:val="000B02BB"/>
    <w:rsid w:val="000B1936"/>
    <w:rsid w:val="000B1FC8"/>
    <w:rsid w:val="000B22FE"/>
    <w:rsid w:val="000B2B9F"/>
    <w:rsid w:val="000B5015"/>
    <w:rsid w:val="000B64C2"/>
    <w:rsid w:val="000B788F"/>
    <w:rsid w:val="000C0031"/>
    <w:rsid w:val="000C14C0"/>
    <w:rsid w:val="000C1F7B"/>
    <w:rsid w:val="000C2074"/>
    <w:rsid w:val="000C227B"/>
    <w:rsid w:val="000C292F"/>
    <w:rsid w:val="000C2B5C"/>
    <w:rsid w:val="000C4E42"/>
    <w:rsid w:val="000C634B"/>
    <w:rsid w:val="000D0977"/>
    <w:rsid w:val="000D12F1"/>
    <w:rsid w:val="000D194E"/>
    <w:rsid w:val="000D3E5A"/>
    <w:rsid w:val="000D3F4C"/>
    <w:rsid w:val="000D4E36"/>
    <w:rsid w:val="000D66AA"/>
    <w:rsid w:val="000D6CA4"/>
    <w:rsid w:val="000E2CBE"/>
    <w:rsid w:val="000E543F"/>
    <w:rsid w:val="000E62FE"/>
    <w:rsid w:val="000F18E7"/>
    <w:rsid w:val="000F1E8A"/>
    <w:rsid w:val="000F2441"/>
    <w:rsid w:val="000F31C9"/>
    <w:rsid w:val="000F37B7"/>
    <w:rsid w:val="000F39CA"/>
    <w:rsid w:val="000F67D8"/>
    <w:rsid w:val="00101FE5"/>
    <w:rsid w:val="001025AD"/>
    <w:rsid w:val="0010279C"/>
    <w:rsid w:val="0010385F"/>
    <w:rsid w:val="00103DDF"/>
    <w:rsid w:val="00104F2B"/>
    <w:rsid w:val="00105767"/>
    <w:rsid w:val="00106C08"/>
    <w:rsid w:val="00106E01"/>
    <w:rsid w:val="00111C32"/>
    <w:rsid w:val="00112811"/>
    <w:rsid w:val="001143BC"/>
    <w:rsid w:val="001161E4"/>
    <w:rsid w:val="00116B3F"/>
    <w:rsid w:val="0012337D"/>
    <w:rsid w:val="001244A9"/>
    <w:rsid w:val="00125A26"/>
    <w:rsid w:val="00125E91"/>
    <w:rsid w:val="0012610A"/>
    <w:rsid w:val="00126534"/>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5982"/>
    <w:rsid w:val="001560D1"/>
    <w:rsid w:val="001570EB"/>
    <w:rsid w:val="00157B60"/>
    <w:rsid w:val="001614E0"/>
    <w:rsid w:val="001619BF"/>
    <w:rsid w:val="00161FB7"/>
    <w:rsid w:val="00162CDA"/>
    <w:rsid w:val="0016302D"/>
    <w:rsid w:val="0016506B"/>
    <w:rsid w:val="00166170"/>
    <w:rsid w:val="00166B73"/>
    <w:rsid w:val="00167048"/>
    <w:rsid w:val="00167715"/>
    <w:rsid w:val="00167F0A"/>
    <w:rsid w:val="00171BD8"/>
    <w:rsid w:val="00174142"/>
    <w:rsid w:val="0017653E"/>
    <w:rsid w:val="001808A0"/>
    <w:rsid w:val="00180CCF"/>
    <w:rsid w:val="00181FFD"/>
    <w:rsid w:val="0018254B"/>
    <w:rsid w:val="00182B01"/>
    <w:rsid w:val="001840D2"/>
    <w:rsid w:val="0018435A"/>
    <w:rsid w:val="00184EED"/>
    <w:rsid w:val="001859C2"/>
    <w:rsid w:val="001868B2"/>
    <w:rsid w:val="00187F3F"/>
    <w:rsid w:val="00190CC7"/>
    <w:rsid w:val="00191487"/>
    <w:rsid w:val="00192824"/>
    <w:rsid w:val="00193CDA"/>
    <w:rsid w:val="001966D7"/>
    <w:rsid w:val="0019702E"/>
    <w:rsid w:val="001A0FF1"/>
    <w:rsid w:val="001A4359"/>
    <w:rsid w:val="001A4915"/>
    <w:rsid w:val="001A4ABA"/>
    <w:rsid w:val="001A6DAD"/>
    <w:rsid w:val="001A7591"/>
    <w:rsid w:val="001B0EBB"/>
    <w:rsid w:val="001B1846"/>
    <w:rsid w:val="001B3CD4"/>
    <w:rsid w:val="001B5082"/>
    <w:rsid w:val="001B7238"/>
    <w:rsid w:val="001B7300"/>
    <w:rsid w:val="001C2ADC"/>
    <w:rsid w:val="001C4034"/>
    <w:rsid w:val="001C4D2E"/>
    <w:rsid w:val="001C50CB"/>
    <w:rsid w:val="001C512F"/>
    <w:rsid w:val="001C5207"/>
    <w:rsid w:val="001C5CE2"/>
    <w:rsid w:val="001C67AC"/>
    <w:rsid w:val="001C6D40"/>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467"/>
    <w:rsid w:val="00202D79"/>
    <w:rsid w:val="00205D2F"/>
    <w:rsid w:val="0020600A"/>
    <w:rsid w:val="0020702E"/>
    <w:rsid w:val="00210E08"/>
    <w:rsid w:val="0021243F"/>
    <w:rsid w:val="00213F4C"/>
    <w:rsid w:val="002145D1"/>
    <w:rsid w:val="002149E3"/>
    <w:rsid w:val="00215E8F"/>
    <w:rsid w:val="00215E93"/>
    <w:rsid w:val="002209D6"/>
    <w:rsid w:val="00220ABB"/>
    <w:rsid w:val="002213B1"/>
    <w:rsid w:val="00221909"/>
    <w:rsid w:val="00221D9F"/>
    <w:rsid w:val="00224B08"/>
    <w:rsid w:val="002259BE"/>
    <w:rsid w:val="0022747D"/>
    <w:rsid w:val="00231850"/>
    <w:rsid w:val="002322BB"/>
    <w:rsid w:val="00233A07"/>
    <w:rsid w:val="00233E05"/>
    <w:rsid w:val="00234E3A"/>
    <w:rsid w:val="0023702C"/>
    <w:rsid w:val="0023756D"/>
    <w:rsid w:val="00237943"/>
    <w:rsid w:val="00237FEA"/>
    <w:rsid w:val="00241CC8"/>
    <w:rsid w:val="0024450C"/>
    <w:rsid w:val="00245400"/>
    <w:rsid w:val="00246B9B"/>
    <w:rsid w:val="00250FEF"/>
    <w:rsid w:val="00251254"/>
    <w:rsid w:val="00253051"/>
    <w:rsid w:val="002543B8"/>
    <w:rsid w:val="002548D1"/>
    <w:rsid w:val="00255B51"/>
    <w:rsid w:val="0026056F"/>
    <w:rsid w:val="00260955"/>
    <w:rsid w:val="0026277B"/>
    <w:rsid w:val="002656C8"/>
    <w:rsid w:val="002705A5"/>
    <w:rsid w:val="00271F91"/>
    <w:rsid w:val="0027283B"/>
    <w:rsid w:val="00273559"/>
    <w:rsid w:val="00274392"/>
    <w:rsid w:val="0028019B"/>
    <w:rsid w:val="00283CAB"/>
    <w:rsid w:val="00286C92"/>
    <w:rsid w:val="00287370"/>
    <w:rsid w:val="0028772B"/>
    <w:rsid w:val="00287A95"/>
    <w:rsid w:val="00290F2F"/>
    <w:rsid w:val="0029107D"/>
    <w:rsid w:val="00291123"/>
    <w:rsid w:val="00291911"/>
    <w:rsid w:val="00292AEE"/>
    <w:rsid w:val="00293255"/>
    <w:rsid w:val="002943AC"/>
    <w:rsid w:val="00294AE9"/>
    <w:rsid w:val="002A0238"/>
    <w:rsid w:val="002A2602"/>
    <w:rsid w:val="002A3927"/>
    <w:rsid w:val="002A3FEF"/>
    <w:rsid w:val="002A4F0E"/>
    <w:rsid w:val="002A75E8"/>
    <w:rsid w:val="002B1444"/>
    <w:rsid w:val="002B2208"/>
    <w:rsid w:val="002B36BB"/>
    <w:rsid w:val="002B48A0"/>
    <w:rsid w:val="002B4A5D"/>
    <w:rsid w:val="002B54A6"/>
    <w:rsid w:val="002B67CC"/>
    <w:rsid w:val="002C06BE"/>
    <w:rsid w:val="002C4D4D"/>
    <w:rsid w:val="002C5BD7"/>
    <w:rsid w:val="002C7234"/>
    <w:rsid w:val="002C795A"/>
    <w:rsid w:val="002D0036"/>
    <w:rsid w:val="002D1874"/>
    <w:rsid w:val="002D255B"/>
    <w:rsid w:val="002D275F"/>
    <w:rsid w:val="002D48BB"/>
    <w:rsid w:val="002D4934"/>
    <w:rsid w:val="002D522E"/>
    <w:rsid w:val="002D791C"/>
    <w:rsid w:val="002E1088"/>
    <w:rsid w:val="002E12CA"/>
    <w:rsid w:val="002E1DF4"/>
    <w:rsid w:val="002E1E8D"/>
    <w:rsid w:val="002E3DD5"/>
    <w:rsid w:val="002E629A"/>
    <w:rsid w:val="002E63DA"/>
    <w:rsid w:val="002E6C2F"/>
    <w:rsid w:val="002E74FA"/>
    <w:rsid w:val="002F388E"/>
    <w:rsid w:val="002F3EE9"/>
    <w:rsid w:val="002F4605"/>
    <w:rsid w:val="002F500F"/>
    <w:rsid w:val="002F5AEB"/>
    <w:rsid w:val="002F6F08"/>
    <w:rsid w:val="002F6F40"/>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332"/>
    <w:rsid w:val="00333BDE"/>
    <w:rsid w:val="00333FAA"/>
    <w:rsid w:val="003355D7"/>
    <w:rsid w:val="0033656D"/>
    <w:rsid w:val="00337D78"/>
    <w:rsid w:val="00340394"/>
    <w:rsid w:val="00340517"/>
    <w:rsid w:val="0034115E"/>
    <w:rsid w:val="00343D58"/>
    <w:rsid w:val="00345876"/>
    <w:rsid w:val="003465B3"/>
    <w:rsid w:val="00346EEB"/>
    <w:rsid w:val="003472CA"/>
    <w:rsid w:val="003521BC"/>
    <w:rsid w:val="0035290A"/>
    <w:rsid w:val="00353DC3"/>
    <w:rsid w:val="00353F24"/>
    <w:rsid w:val="0035555F"/>
    <w:rsid w:val="003559A2"/>
    <w:rsid w:val="0035780C"/>
    <w:rsid w:val="0036201C"/>
    <w:rsid w:val="003625E3"/>
    <w:rsid w:val="003634DA"/>
    <w:rsid w:val="003639E3"/>
    <w:rsid w:val="0036495E"/>
    <w:rsid w:val="00365994"/>
    <w:rsid w:val="003663FE"/>
    <w:rsid w:val="00366E76"/>
    <w:rsid w:val="003678C0"/>
    <w:rsid w:val="00372313"/>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08EA"/>
    <w:rsid w:val="003A21A0"/>
    <w:rsid w:val="003A222F"/>
    <w:rsid w:val="003A47A0"/>
    <w:rsid w:val="003A6407"/>
    <w:rsid w:val="003A742D"/>
    <w:rsid w:val="003B0005"/>
    <w:rsid w:val="003B07A5"/>
    <w:rsid w:val="003B0B81"/>
    <w:rsid w:val="003B2B91"/>
    <w:rsid w:val="003B3385"/>
    <w:rsid w:val="003B3BC2"/>
    <w:rsid w:val="003B40B3"/>
    <w:rsid w:val="003B445A"/>
    <w:rsid w:val="003B70CC"/>
    <w:rsid w:val="003C21F4"/>
    <w:rsid w:val="003C315C"/>
    <w:rsid w:val="003C4532"/>
    <w:rsid w:val="003C68E4"/>
    <w:rsid w:val="003C755E"/>
    <w:rsid w:val="003C7A65"/>
    <w:rsid w:val="003C7F2F"/>
    <w:rsid w:val="003D275F"/>
    <w:rsid w:val="003D291D"/>
    <w:rsid w:val="003D2E0C"/>
    <w:rsid w:val="003D3E21"/>
    <w:rsid w:val="003D4346"/>
    <w:rsid w:val="003D56ED"/>
    <w:rsid w:val="003D7AB8"/>
    <w:rsid w:val="003E2127"/>
    <w:rsid w:val="003E3ABA"/>
    <w:rsid w:val="003E498C"/>
    <w:rsid w:val="003E56AE"/>
    <w:rsid w:val="003F131B"/>
    <w:rsid w:val="003F2777"/>
    <w:rsid w:val="003F2C5D"/>
    <w:rsid w:val="003F2EC4"/>
    <w:rsid w:val="003F3AFD"/>
    <w:rsid w:val="003F756D"/>
    <w:rsid w:val="003F77BB"/>
    <w:rsid w:val="00400629"/>
    <w:rsid w:val="004029CC"/>
    <w:rsid w:val="00403304"/>
    <w:rsid w:val="004052E3"/>
    <w:rsid w:val="004076C8"/>
    <w:rsid w:val="00411336"/>
    <w:rsid w:val="004128EA"/>
    <w:rsid w:val="00413458"/>
    <w:rsid w:val="004147C5"/>
    <w:rsid w:val="004153B6"/>
    <w:rsid w:val="00415CC1"/>
    <w:rsid w:val="004177DA"/>
    <w:rsid w:val="004207E3"/>
    <w:rsid w:val="00421A1D"/>
    <w:rsid w:val="00421A4C"/>
    <w:rsid w:val="0042308A"/>
    <w:rsid w:val="004238C2"/>
    <w:rsid w:val="0042469F"/>
    <w:rsid w:val="00425F7D"/>
    <w:rsid w:val="004270A6"/>
    <w:rsid w:val="00427B10"/>
    <w:rsid w:val="004325F9"/>
    <w:rsid w:val="0043268A"/>
    <w:rsid w:val="00433A35"/>
    <w:rsid w:val="00435B5D"/>
    <w:rsid w:val="004363F7"/>
    <w:rsid w:val="00436A0B"/>
    <w:rsid w:val="00437C4D"/>
    <w:rsid w:val="00440868"/>
    <w:rsid w:val="004409DB"/>
    <w:rsid w:val="0044525C"/>
    <w:rsid w:val="0044683D"/>
    <w:rsid w:val="00447352"/>
    <w:rsid w:val="00452CAC"/>
    <w:rsid w:val="0045387F"/>
    <w:rsid w:val="004553F1"/>
    <w:rsid w:val="0045548A"/>
    <w:rsid w:val="004558FE"/>
    <w:rsid w:val="0045655D"/>
    <w:rsid w:val="00460592"/>
    <w:rsid w:val="004620D4"/>
    <w:rsid w:val="00466197"/>
    <w:rsid w:val="00467517"/>
    <w:rsid w:val="00471C1F"/>
    <w:rsid w:val="00472810"/>
    <w:rsid w:val="00475834"/>
    <w:rsid w:val="004809FA"/>
    <w:rsid w:val="00481735"/>
    <w:rsid w:val="0048175C"/>
    <w:rsid w:val="00482AE7"/>
    <w:rsid w:val="004863F0"/>
    <w:rsid w:val="00487CDB"/>
    <w:rsid w:val="00492B67"/>
    <w:rsid w:val="0049471D"/>
    <w:rsid w:val="00494906"/>
    <w:rsid w:val="00495315"/>
    <w:rsid w:val="004962B1"/>
    <w:rsid w:val="00496F06"/>
    <w:rsid w:val="004A03B6"/>
    <w:rsid w:val="004A1570"/>
    <w:rsid w:val="004A1914"/>
    <w:rsid w:val="004A1E2D"/>
    <w:rsid w:val="004A72AA"/>
    <w:rsid w:val="004B2834"/>
    <w:rsid w:val="004B4A22"/>
    <w:rsid w:val="004C0103"/>
    <w:rsid w:val="004C08EA"/>
    <w:rsid w:val="004C4A75"/>
    <w:rsid w:val="004C5ADB"/>
    <w:rsid w:val="004C5DDA"/>
    <w:rsid w:val="004D1EB8"/>
    <w:rsid w:val="004D2DA0"/>
    <w:rsid w:val="004D3E97"/>
    <w:rsid w:val="004D43AF"/>
    <w:rsid w:val="004D700A"/>
    <w:rsid w:val="004E14A4"/>
    <w:rsid w:val="004E16FA"/>
    <w:rsid w:val="004E3365"/>
    <w:rsid w:val="004E537F"/>
    <w:rsid w:val="004E5BFB"/>
    <w:rsid w:val="004E6609"/>
    <w:rsid w:val="004E719D"/>
    <w:rsid w:val="004E7D57"/>
    <w:rsid w:val="004F0BF8"/>
    <w:rsid w:val="004F19F0"/>
    <w:rsid w:val="004F54BD"/>
    <w:rsid w:val="004F56C5"/>
    <w:rsid w:val="004F6F3C"/>
    <w:rsid w:val="004F7439"/>
    <w:rsid w:val="004F76A3"/>
    <w:rsid w:val="005002A9"/>
    <w:rsid w:val="00501E74"/>
    <w:rsid w:val="00503384"/>
    <w:rsid w:val="005041C2"/>
    <w:rsid w:val="005054F7"/>
    <w:rsid w:val="00505E6A"/>
    <w:rsid w:val="005071D3"/>
    <w:rsid w:val="005078C2"/>
    <w:rsid w:val="0051010C"/>
    <w:rsid w:val="00510718"/>
    <w:rsid w:val="005129D2"/>
    <w:rsid w:val="00513EC1"/>
    <w:rsid w:val="00514C91"/>
    <w:rsid w:val="005178DB"/>
    <w:rsid w:val="00517C7D"/>
    <w:rsid w:val="005223FE"/>
    <w:rsid w:val="00522D5D"/>
    <w:rsid w:val="00523618"/>
    <w:rsid w:val="0052515D"/>
    <w:rsid w:val="00525C08"/>
    <w:rsid w:val="005262CD"/>
    <w:rsid w:val="0052699C"/>
    <w:rsid w:val="00526AA6"/>
    <w:rsid w:val="00531CAE"/>
    <w:rsid w:val="00533DDC"/>
    <w:rsid w:val="005354D0"/>
    <w:rsid w:val="00535922"/>
    <w:rsid w:val="00535A36"/>
    <w:rsid w:val="00537469"/>
    <w:rsid w:val="00541017"/>
    <w:rsid w:val="0054172C"/>
    <w:rsid w:val="00542808"/>
    <w:rsid w:val="0054323D"/>
    <w:rsid w:val="00543B07"/>
    <w:rsid w:val="00543BE2"/>
    <w:rsid w:val="0054590F"/>
    <w:rsid w:val="005459EC"/>
    <w:rsid w:val="00545F71"/>
    <w:rsid w:val="00546EA2"/>
    <w:rsid w:val="005475D3"/>
    <w:rsid w:val="00547729"/>
    <w:rsid w:val="00550E7A"/>
    <w:rsid w:val="00550E7F"/>
    <w:rsid w:val="00552794"/>
    <w:rsid w:val="005537C9"/>
    <w:rsid w:val="00555A6E"/>
    <w:rsid w:val="0055673A"/>
    <w:rsid w:val="0055724E"/>
    <w:rsid w:val="0055733D"/>
    <w:rsid w:val="005576B4"/>
    <w:rsid w:val="00560DEF"/>
    <w:rsid w:val="00562685"/>
    <w:rsid w:val="0056292F"/>
    <w:rsid w:val="0056344D"/>
    <w:rsid w:val="00563F4C"/>
    <w:rsid w:val="005641E0"/>
    <w:rsid w:val="00566489"/>
    <w:rsid w:val="00566F47"/>
    <w:rsid w:val="005709FA"/>
    <w:rsid w:val="005716B1"/>
    <w:rsid w:val="005718B5"/>
    <w:rsid w:val="00571FB4"/>
    <w:rsid w:val="0057297F"/>
    <w:rsid w:val="00574596"/>
    <w:rsid w:val="00574F6C"/>
    <w:rsid w:val="0057585B"/>
    <w:rsid w:val="005777E4"/>
    <w:rsid w:val="005808FB"/>
    <w:rsid w:val="00581486"/>
    <w:rsid w:val="00582605"/>
    <w:rsid w:val="00584430"/>
    <w:rsid w:val="005849F4"/>
    <w:rsid w:val="005854AF"/>
    <w:rsid w:val="00590489"/>
    <w:rsid w:val="00591016"/>
    <w:rsid w:val="00593F3C"/>
    <w:rsid w:val="005A045F"/>
    <w:rsid w:val="005A0F94"/>
    <w:rsid w:val="005A4F77"/>
    <w:rsid w:val="005A639A"/>
    <w:rsid w:val="005B0A85"/>
    <w:rsid w:val="005B0B45"/>
    <w:rsid w:val="005B3414"/>
    <w:rsid w:val="005B3F67"/>
    <w:rsid w:val="005B4496"/>
    <w:rsid w:val="005B6114"/>
    <w:rsid w:val="005B6656"/>
    <w:rsid w:val="005B6671"/>
    <w:rsid w:val="005C1709"/>
    <w:rsid w:val="005C295F"/>
    <w:rsid w:val="005C2DA4"/>
    <w:rsid w:val="005C7899"/>
    <w:rsid w:val="005D0571"/>
    <w:rsid w:val="005D1273"/>
    <w:rsid w:val="005D3E95"/>
    <w:rsid w:val="005D40CF"/>
    <w:rsid w:val="005D45AE"/>
    <w:rsid w:val="005D4911"/>
    <w:rsid w:val="005D548F"/>
    <w:rsid w:val="005D55FF"/>
    <w:rsid w:val="005D6161"/>
    <w:rsid w:val="005D62C4"/>
    <w:rsid w:val="005D6D14"/>
    <w:rsid w:val="005D6EF5"/>
    <w:rsid w:val="005D73B5"/>
    <w:rsid w:val="005E2FCC"/>
    <w:rsid w:val="005E3A10"/>
    <w:rsid w:val="005E4BA2"/>
    <w:rsid w:val="005E6695"/>
    <w:rsid w:val="005E7509"/>
    <w:rsid w:val="005F00A6"/>
    <w:rsid w:val="005F1E92"/>
    <w:rsid w:val="005F499E"/>
    <w:rsid w:val="006037BB"/>
    <w:rsid w:val="00603BA2"/>
    <w:rsid w:val="00604E7A"/>
    <w:rsid w:val="00604F47"/>
    <w:rsid w:val="00605CEF"/>
    <w:rsid w:val="00605ED6"/>
    <w:rsid w:val="00607E22"/>
    <w:rsid w:val="006102CA"/>
    <w:rsid w:val="00613DAE"/>
    <w:rsid w:val="00615470"/>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455D"/>
    <w:rsid w:val="00645B8B"/>
    <w:rsid w:val="00647599"/>
    <w:rsid w:val="006476B6"/>
    <w:rsid w:val="00650E15"/>
    <w:rsid w:val="006530E4"/>
    <w:rsid w:val="00654ABC"/>
    <w:rsid w:val="00655044"/>
    <w:rsid w:val="006617AD"/>
    <w:rsid w:val="00662BC4"/>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091A"/>
    <w:rsid w:val="006A200B"/>
    <w:rsid w:val="006A27CD"/>
    <w:rsid w:val="006A506A"/>
    <w:rsid w:val="006A7467"/>
    <w:rsid w:val="006B0184"/>
    <w:rsid w:val="006B1286"/>
    <w:rsid w:val="006B3297"/>
    <w:rsid w:val="006B6BC5"/>
    <w:rsid w:val="006B7DEF"/>
    <w:rsid w:val="006B7F6A"/>
    <w:rsid w:val="006C059A"/>
    <w:rsid w:val="006C2716"/>
    <w:rsid w:val="006C4484"/>
    <w:rsid w:val="006C5584"/>
    <w:rsid w:val="006C580A"/>
    <w:rsid w:val="006C5ED7"/>
    <w:rsid w:val="006C6B72"/>
    <w:rsid w:val="006D1E69"/>
    <w:rsid w:val="006D376F"/>
    <w:rsid w:val="006D3BD9"/>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650C"/>
    <w:rsid w:val="00707EA4"/>
    <w:rsid w:val="00710E25"/>
    <w:rsid w:val="007116B1"/>
    <w:rsid w:val="007120F7"/>
    <w:rsid w:val="007123C2"/>
    <w:rsid w:val="007128B7"/>
    <w:rsid w:val="00714BEE"/>
    <w:rsid w:val="007150B2"/>
    <w:rsid w:val="007163A8"/>
    <w:rsid w:val="00720AC6"/>
    <w:rsid w:val="00721215"/>
    <w:rsid w:val="00721F9F"/>
    <w:rsid w:val="0072367F"/>
    <w:rsid w:val="00723BA5"/>
    <w:rsid w:val="00725DAB"/>
    <w:rsid w:val="00731669"/>
    <w:rsid w:val="007323B9"/>
    <w:rsid w:val="0073378D"/>
    <w:rsid w:val="007347CA"/>
    <w:rsid w:val="00735479"/>
    <w:rsid w:val="00735827"/>
    <w:rsid w:val="0073664B"/>
    <w:rsid w:val="007372EA"/>
    <w:rsid w:val="007373F9"/>
    <w:rsid w:val="007400CF"/>
    <w:rsid w:val="00745F89"/>
    <w:rsid w:val="007464E7"/>
    <w:rsid w:val="00747A26"/>
    <w:rsid w:val="00747AAF"/>
    <w:rsid w:val="007518BE"/>
    <w:rsid w:val="00751C64"/>
    <w:rsid w:val="007529DD"/>
    <w:rsid w:val="00752C7F"/>
    <w:rsid w:val="00753668"/>
    <w:rsid w:val="00754BFA"/>
    <w:rsid w:val="00755B7D"/>
    <w:rsid w:val="007566B2"/>
    <w:rsid w:val="007567D8"/>
    <w:rsid w:val="0076086B"/>
    <w:rsid w:val="007608E1"/>
    <w:rsid w:val="007647E7"/>
    <w:rsid w:val="00767501"/>
    <w:rsid w:val="007675BE"/>
    <w:rsid w:val="00773028"/>
    <w:rsid w:val="00773596"/>
    <w:rsid w:val="00777AE6"/>
    <w:rsid w:val="00782198"/>
    <w:rsid w:val="00786C4E"/>
    <w:rsid w:val="00790171"/>
    <w:rsid w:val="00790DE7"/>
    <w:rsid w:val="00790FC2"/>
    <w:rsid w:val="00791520"/>
    <w:rsid w:val="007919FF"/>
    <w:rsid w:val="007922AD"/>
    <w:rsid w:val="007935C5"/>
    <w:rsid w:val="00795096"/>
    <w:rsid w:val="00795B93"/>
    <w:rsid w:val="007965C1"/>
    <w:rsid w:val="00796C25"/>
    <w:rsid w:val="00796E32"/>
    <w:rsid w:val="007A19F0"/>
    <w:rsid w:val="007A2971"/>
    <w:rsid w:val="007A3D66"/>
    <w:rsid w:val="007A4D31"/>
    <w:rsid w:val="007A7B72"/>
    <w:rsid w:val="007B11AF"/>
    <w:rsid w:val="007B23FC"/>
    <w:rsid w:val="007B4200"/>
    <w:rsid w:val="007C00E4"/>
    <w:rsid w:val="007C0D59"/>
    <w:rsid w:val="007C28B4"/>
    <w:rsid w:val="007C38F9"/>
    <w:rsid w:val="007C5702"/>
    <w:rsid w:val="007C582D"/>
    <w:rsid w:val="007C5856"/>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366B"/>
    <w:rsid w:val="00816C6E"/>
    <w:rsid w:val="00817D33"/>
    <w:rsid w:val="0082089A"/>
    <w:rsid w:val="00822978"/>
    <w:rsid w:val="00822FA4"/>
    <w:rsid w:val="008232B4"/>
    <w:rsid w:val="00825082"/>
    <w:rsid w:val="00826B9A"/>
    <w:rsid w:val="00827952"/>
    <w:rsid w:val="00830047"/>
    <w:rsid w:val="00830676"/>
    <w:rsid w:val="00830A68"/>
    <w:rsid w:val="00830DD8"/>
    <w:rsid w:val="00831370"/>
    <w:rsid w:val="00840125"/>
    <w:rsid w:val="00841053"/>
    <w:rsid w:val="008412E1"/>
    <w:rsid w:val="00841E9B"/>
    <w:rsid w:val="00842CBE"/>
    <w:rsid w:val="008439CB"/>
    <w:rsid w:val="00844634"/>
    <w:rsid w:val="008455F2"/>
    <w:rsid w:val="00851759"/>
    <w:rsid w:val="0085266D"/>
    <w:rsid w:val="00854BE1"/>
    <w:rsid w:val="00855723"/>
    <w:rsid w:val="008567F1"/>
    <w:rsid w:val="00856C52"/>
    <w:rsid w:val="008608C7"/>
    <w:rsid w:val="00860FB9"/>
    <w:rsid w:val="00862E6C"/>
    <w:rsid w:val="00866A76"/>
    <w:rsid w:val="00866A99"/>
    <w:rsid w:val="0086724B"/>
    <w:rsid w:val="00867DDC"/>
    <w:rsid w:val="0087055B"/>
    <w:rsid w:val="00870761"/>
    <w:rsid w:val="00876F40"/>
    <w:rsid w:val="00877948"/>
    <w:rsid w:val="00877B4A"/>
    <w:rsid w:val="008816D8"/>
    <w:rsid w:val="00881922"/>
    <w:rsid w:val="008837A9"/>
    <w:rsid w:val="008867EF"/>
    <w:rsid w:val="0089041C"/>
    <w:rsid w:val="0089102A"/>
    <w:rsid w:val="00892B68"/>
    <w:rsid w:val="00893DE8"/>
    <w:rsid w:val="008940FC"/>
    <w:rsid w:val="008941C6"/>
    <w:rsid w:val="00894828"/>
    <w:rsid w:val="00894ABC"/>
    <w:rsid w:val="00894C59"/>
    <w:rsid w:val="008977B2"/>
    <w:rsid w:val="008A1651"/>
    <w:rsid w:val="008A39F5"/>
    <w:rsid w:val="008A3B80"/>
    <w:rsid w:val="008A4702"/>
    <w:rsid w:val="008A4A44"/>
    <w:rsid w:val="008A595E"/>
    <w:rsid w:val="008A5AA0"/>
    <w:rsid w:val="008A5DAA"/>
    <w:rsid w:val="008B07FC"/>
    <w:rsid w:val="008B2F9A"/>
    <w:rsid w:val="008B30EC"/>
    <w:rsid w:val="008B4871"/>
    <w:rsid w:val="008B6412"/>
    <w:rsid w:val="008C0C2B"/>
    <w:rsid w:val="008C14A3"/>
    <w:rsid w:val="008C21B1"/>
    <w:rsid w:val="008C35E5"/>
    <w:rsid w:val="008C3F8E"/>
    <w:rsid w:val="008C47FA"/>
    <w:rsid w:val="008C60C1"/>
    <w:rsid w:val="008C6529"/>
    <w:rsid w:val="008C77BE"/>
    <w:rsid w:val="008D011A"/>
    <w:rsid w:val="008D0129"/>
    <w:rsid w:val="008D0238"/>
    <w:rsid w:val="008D06A8"/>
    <w:rsid w:val="008D13D7"/>
    <w:rsid w:val="008D3BEB"/>
    <w:rsid w:val="008D4636"/>
    <w:rsid w:val="008D57F5"/>
    <w:rsid w:val="008D6269"/>
    <w:rsid w:val="008D669F"/>
    <w:rsid w:val="008D7EB3"/>
    <w:rsid w:val="008E08C6"/>
    <w:rsid w:val="008E20FC"/>
    <w:rsid w:val="008E224D"/>
    <w:rsid w:val="008E23C8"/>
    <w:rsid w:val="008E4057"/>
    <w:rsid w:val="008E59B8"/>
    <w:rsid w:val="008E6678"/>
    <w:rsid w:val="008E6E10"/>
    <w:rsid w:val="008F076A"/>
    <w:rsid w:val="008F0A9D"/>
    <w:rsid w:val="008F135F"/>
    <w:rsid w:val="008F1BA1"/>
    <w:rsid w:val="008F260D"/>
    <w:rsid w:val="008F35E7"/>
    <w:rsid w:val="008F66EC"/>
    <w:rsid w:val="009037BA"/>
    <w:rsid w:val="009039A9"/>
    <w:rsid w:val="00904C87"/>
    <w:rsid w:val="00906499"/>
    <w:rsid w:val="00913AC0"/>
    <w:rsid w:val="00913D8A"/>
    <w:rsid w:val="009156CC"/>
    <w:rsid w:val="00916452"/>
    <w:rsid w:val="009172FA"/>
    <w:rsid w:val="0092238D"/>
    <w:rsid w:val="00923DC1"/>
    <w:rsid w:val="009247F9"/>
    <w:rsid w:val="0092530B"/>
    <w:rsid w:val="009270E6"/>
    <w:rsid w:val="009272B6"/>
    <w:rsid w:val="00927E8A"/>
    <w:rsid w:val="0093325E"/>
    <w:rsid w:val="009333ED"/>
    <w:rsid w:val="00933B50"/>
    <w:rsid w:val="009340D2"/>
    <w:rsid w:val="0093766B"/>
    <w:rsid w:val="00940968"/>
    <w:rsid w:val="0094208C"/>
    <w:rsid w:val="0094235B"/>
    <w:rsid w:val="00942F17"/>
    <w:rsid w:val="009440C1"/>
    <w:rsid w:val="009472C5"/>
    <w:rsid w:val="00947577"/>
    <w:rsid w:val="009477E5"/>
    <w:rsid w:val="00951BDC"/>
    <w:rsid w:val="0095229C"/>
    <w:rsid w:val="009528E2"/>
    <w:rsid w:val="00952CEF"/>
    <w:rsid w:val="00953A11"/>
    <w:rsid w:val="00953A2E"/>
    <w:rsid w:val="00953FAC"/>
    <w:rsid w:val="00954439"/>
    <w:rsid w:val="00954920"/>
    <w:rsid w:val="00955421"/>
    <w:rsid w:val="00957EA1"/>
    <w:rsid w:val="00960DF8"/>
    <w:rsid w:val="009651DB"/>
    <w:rsid w:val="00966427"/>
    <w:rsid w:val="00974340"/>
    <w:rsid w:val="00976821"/>
    <w:rsid w:val="009776C7"/>
    <w:rsid w:val="009804EF"/>
    <w:rsid w:val="009810B4"/>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55D3"/>
    <w:rsid w:val="009A62CC"/>
    <w:rsid w:val="009A695C"/>
    <w:rsid w:val="009A7507"/>
    <w:rsid w:val="009A7E9D"/>
    <w:rsid w:val="009B160B"/>
    <w:rsid w:val="009B18B7"/>
    <w:rsid w:val="009B2679"/>
    <w:rsid w:val="009B2C8F"/>
    <w:rsid w:val="009B4710"/>
    <w:rsid w:val="009B4FEA"/>
    <w:rsid w:val="009B67AB"/>
    <w:rsid w:val="009B6E95"/>
    <w:rsid w:val="009C237B"/>
    <w:rsid w:val="009C246D"/>
    <w:rsid w:val="009C523F"/>
    <w:rsid w:val="009C6BE6"/>
    <w:rsid w:val="009C7957"/>
    <w:rsid w:val="009D164A"/>
    <w:rsid w:val="009D389A"/>
    <w:rsid w:val="009D69C5"/>
    <w:rsid w:val="009D7930"/>
    <w:rsid w:val="009E4B36"/>
    <w:rsid w:val="009E4D80"/>
    <w:rsid w:val="009E52CC"/>
    <w:rsid w:val="009E5A93"/>
    <w:rsid w:val="009E5EB5"/>
    <w:rsid w:val="009F07ED"/>
    <w:rsid w:val="009F1366"/>
    <w:rsid w:val="009F29B3"/>
    <w:rsid w:val="009F3F89"/>
    <w:rsid w:val="009F65A2"/>
    <w:rsid w:val="00A02570"/>
    <w:rsid w:val="00A0404D"/>
    <w:rsid w:val="00A05F92"/>
    <w:rsid w:val="00A10B01"/>
    <w:rsid w:val="00A124A1"/>
    <w:rsid w:val="00A1258C"/>
    <w:rsid w:val="00A12860"/>
    <w:rsid w:val="00A1301D"/>
    <w:rsid w:val="00A14195"/>
    <w:rsid w:val="00A142E4"/>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38A"/>
    <w:rsid w:val="00A33509"/>
    <w:rsid w:val="00A33FB5"/>
    <w:rsid w:val="00A344B1"/>
    <w:rsid w:val="00A34A58"/>
    <w:rsid w:val="00A34E3B"/>
    <w:rsid w:val="00A36B2C"/>
    <w:rsid w:val="00A41043"/>
    <w:rsid w:val="00A41221"/>
    <w:rsid w:val="00A440F6"/>
    <w:rsid w:val="00A44B40"/>
    <w:rsid w:val="00A5039C"/>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79"/>
    <w:rsid w:val="00A70641"/>
    <w:rsid w:val="00A71395"/>
    <w:rsid w:val="00A71BFD"/>
    <w:rsid w:val="00A71CD7"/>
    <w:rsid w:val="00A7210D"/>
    <w:rsid w:val="00A7271A"/>
    <w:rsid w:val="00A72DD7"/>
    <w:rsid w:val="00A72F97"/>
    <w:rsid w:val="00A80770"/>
    <w:rsid w:val="00A80821"/>
    <w:rsid w:val="00A81A0F"/>
    <w:rsid w:val="00A81E19"/>
    <w:rsid w:val="00A8393C"/>
    <w:rsid w:val="00A86E59"/>
    <w:rsid w:val="00A91852"/>
    <w:rsid w:val="00A91C08"/>
    <w:rsid w:val="00A95191"/>
    <w:rsid w:val="00A953C2"/>
    <w:rsid w:val="00A9620D"/>
    <w:rsid w:val="00A976C1"/>
    <w:rsid w:val="00A97E03"/>
    <w:rsid w:val="00AA00BA"/>
    <w:rsid w:val="00AA1332"/>
    <w:rsid w:val="00AA41E5"/>
    <w:rsid w:val="00AA528F"/>
    <w:rsid w:val="00AA5B4B"/>
    <w:rsid w:val="00AA6AFE"/>
    <w:rsid w:val="00AA6CE5"/>
    <w:rsid w:val="00AB03EE"/>
    <w:rsid w:val="00AB1262"/>
    <w:rsid w:val="00AB2633"/>
    <w:rsid w:val="00AB4082"/>
    <w:rsid w:val="00AB6724"/>
    <w:rsid w:val="00AB795F"/>
    <w:rsid w:val="00AC2437"/>
    <w:rsid w:val="00AC6312"/>
    <w:rsid w:val="00AC666D"/>
    <w:rsid w:val="00AD2A00"/>
    <w:rsid w:val="00AD2DCB"/>
    <w:rsid w:val="00AD3803"/>
    <w:rsid w:val="00AD4935"/>
    <w:rsid w:val="00AD4BD1"/>
    <w:rsid w:val="00AD4FF7"/>
    <w:rsid w:val="00AD59C6"/>
    <w:rsid w:val="00AD6D80"/>
    <w:rsid w:val="00AD79C6"/>
    <w:rsid w:val="00AD7DCA"/>
    <w:rsid w:val="00AE08BD"/>
    <w:rsid w:val="00AE3F29"/>
    <w:rsid w:val="00AE44D4"/>
    <w:rsid w:val="00AE56BA"/>
    <w:rsid w:val="00AE640A"/>
    <w:rsid w:val="00AE7033"/>
    <w:rsid w:val="00AE7946"/>
    <w:rsid w:val="00AF011A"/>
    <w:rsid w:val="00AF06B3"/>
    <w:rsid w:val="00AF24E2"/>
    <w:rsid w:val="00AF2552"/>
    <w:rsid w:val="00AF347B"/>
    <w:rsid w:val="00AF3E9C"/>
    <w:rsid w:val="00AF517D"/>
    <w:rsid w:val="00AF59F9"/>
    <w:rsid w:val="00AF66F2"/>
    <w:rsid w:val="00AF770A"/>
    <w:rsid w:val="00AF7C70"/>
    <w:rsid w:val="00B02D20"/>
    <w:rsid w:val="00B05C1A"/>
    <w:rsid w:val="00B05C35"/>
    <w:rsid w:val="00B06CC3"/>
    <w:rsid w:val="00B06E89"/>
    <w:rsid w:val="00B0799E"/>
    <w:rsid w:val="00B07CC8"/>
    <w:rsid w:val="00B1044F"/>
    <w:rsid w:val="00B1160D"/>
    <w:rsid w:val="00B11849"/>
    <w:rsid w:val="00B13FB7"/>
    <w:rsid w:val="00B159A3"/>
    <w:rsid w:val="00B1698A"/>
    <w:rsid w:val="00B17307"/>
    <w:rsid w:val="00B20310"/>
    <w:rsid w:val="00B21C50"/>
    <w:rsid w:val="00B228EA"/>
    <w:rsid w:val="00B263A2"/>
    <w:rsid w:val="00B27727"/>
    <w:rsid w:val="00B27CB1"/>
    <w:rsid w:val="00B329CE"/>
    <w:rsid w:val="00B36716"/>
    <w:rsid w:val="00B37833"/>
    <w:rsid w:val="00B42BF2"/>
    <w:rsid w:val="00B444E6"/>
    <w:rsid w:val="00B457DF"/>
    <w:rsid w:val="00B46B5E"/>
    <w:rsid w:val="00B51151"/>
    <w:rsid w:val="00B512DC"/>
    <w:rsid w:val="00B51D00"/>
    <w:rsid w:val="00B52011"/>
    <w:rsid w:val="00B53EFF"/>
    <w:rsid w:val="00B543AB"/>
    <w:rsid w:val="00B5452E"/>
    <w:rsid w:val="00B54AFA"/>
    <w:rsid w:val="00B54B72"/>
    <w:rsid w:val="00B60475"/>
    <w:rsid w:val="00B60857"/>
    <w:rsid w:val="00B61459"/>
    <w:rsid w:val="00B6360B"/>
    <w:rsid w:val="00B6533F"/>
    <w:rsid w:val="00B66810"/>
    <w:rsid w:val="00B671A4"/>
    <w:rsid w:val="00B7003E"/>
    <w:rsid w:val="00B731FC"/>
    <w:rsid w:val="00B75D7A"/>
    <w:rsid w:val="00B763F3"/>
    <w:rsid w:val="00B77CFB"/>
    <w:rsid w:val="00B804E8"/>
    <w:rsid w:val="00B82086"/>
    <w:rsid w:val="00B827F0"/>
    <w:rsid w:val="00B83B56"/>
    <w:rsid w:val="00B846B4"/>
    <w:rsid w:val="00B87D4F"/>
    <w:rsid w:val="00B94016"/>
    <w:rsid w:val="00B948C4"/>
    <w:rsid w:val="00B95259"/>
    <w:rsid w:val="00B9556A"/>
    <w:rsid w:val="00BA1B32"/>
    <w:rsid w:val="00BA2A1D"/>
    <w:rsid w:val="00BA7B29"/>
    <w:rsid w:val="00BB25A7"/>
    <w:rsid w:val="00BB27ED"/>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A5F"/>
    <w:rsid w:val="00BD6CCD"/>
    <w:rsid w:val="00BD6E46"/>
    <w:rsid w:val="00BD7350"/>
    <w:rsid w:val="00BE0099"/>
    <w:rsid w:val="00BE040B"/>
    <w:rsid w:val="00BE1172"/>
    <w:rsid w:val="00BE1EE9"/>
    <w:rsid w:val="00BE265E"/>
    <w:rsid w:val="00BE351E"/>
    <w:rsid w:val="00BE375D"/>
    <w:rsid w:val="00BE5E6A"/>
    <w:rsid w:val="00BF1336"/>
    <w:rsid w:val="00BF4154"/>
    <w:rsid w:val="00BF6CCA"/>
    <w:rsid w:val="00BF78B8"/>
    <w:rsid w:val="00C018C0"/>
    <w:rsid w:val="00C01A35"/>
    <w:rsid w:val="00C03772"/>
    <w:rsid w:val="00C039E9"/>
    <w:rsid w:val="00C04EDA"/>
    <w:rsid w:val="00C07863"/>
    <w:rsid w:val="00C102C7"/>
    <w:rsid w:val="00C1159D"/>
    <w:rsid w:val="00C119A2"/>
    <w:rsid w:val="00C120FB"/>
    <w:rsid w:val="00C128DD"/>
    <w:rsid w:val="00C1480B"/>
    <w:rsid w:val="00C17354"/>
    <w:rsid w:val="00C21509"/>
    <w:rsid w:val="00C27838"/>
    <w:rsid w:val="00C327E5"/>
    <w:rsid w:val="00C34991"/>
    <w:rsid w:val="00C372C5"/>
    <w:rsid w:val="00C373EB"/>
    <w:rsid w:val="00C407B8"/>
    <w:rsid w:val="00C4123E"/>
    <w:rsid w:val="00C414D4"/>
    <w:rsid w:val="00C43D14"/>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1EE"/>
    <w:rsid w:val="00C72B5B"/>
    <w:rsid w:val="00C742E3"/>
    <w:rsid w:val="00C75F94"/>
    <w:rsid w:val="00C761D4"/>
    <w:rsid w:val="00C76F6F"/>
    <w:rsid w:val="00C8102B"/>
    <w:rsid w:val="00C810A7"/>
    <w:rsid w:val="00C811D6"/>
    <w:rsid w:val="00C81C10"/>
    <w:rsid w:val="00C8506F"/>
    <w:rsid w:val="00C87A1B"/>
    <w:rsid w:val="00C91150"/>
    <w:rsid w:val="00C91ADC"/>
    <w:rsid w:val="00C91E39"/>
    <w:rsid w:val="00C920C9"/>
    <w:rsid w:val="00C93E9C"/>
    <w:rsid w:val="00C942E1"/>
    <w:rsid w:val="00C94F64"/>
    <w:rsid w:val="00C977D6"/>
    <w:rsid w:val="00C97CDB"/>
    <w:rsid w:val="00CA0075"/>
    <w:rsid w:val="00CA2E04"/>
    <w:rsid w:val="00CA2FF3"/>
    <w:rsid w:val="00CA4CC4"/>
    <w:rsid w:val="00CA57BC"/>
    <w:rsid w:val="00CA5C65"/>
    <w:rsid w:val="00CA70AF"/>
    <w:rsid w:val="00CA79C7"/>
    <w:rsid w:val="00CB01F3"/>
    <w:rsid w:val="00CB1CAF"/>
    <w:rsid w:val="00CB1DF2"/>
    <w:rsid w:val="00CB24A9"/>
    <w:rsid w:val="00CB25C5"/>
    <w:rsid w:val="00CB2A23"/>
    <w:rsid w:val="00CB2AAA"/>
    <w:rsid w:val="00CB3F47"/>
    <w:rsid w:val="00CB4289"/>
    <w:rsid w:val="00CB4CE7"/>
    <w:rsid w:val="00CB53AB"/>
    <w:rsid w:val="00CB6DCF"/>
    <w:rsid w:val="00CB7869"/>
    <w:rsid w:val="00CC17C2"/>
    <w:rsid w:val="00CC258C"/>
    <w:rsid w:val="00CC2797"/>
    <w:rsid w:val="00CC2B6B"/>
    <w:rsid w:val="00CC368A"/>
    <w:rsid w:val="00CC3A3C"/>
    <w:rsid w:val="00CC439E"/>
    <w:rsid w:val="00CC4529"/>
    <w:rsid w:val="00CC497B"/>
    <w:rsid w:val="00CC4E23"/>
    <w:rsid w:val="00CC4FF6"/>
    <w:rsid w:val="00CC581A"/>
    <w:rsid w:val="00CC76CA"/>
    <w:rsid w:val="00CC7D9A"/>
    <w:rsid w:val="00CD062E"/>
    <w:rsid w:val="00CD06BB"/>
    <w:rsid w:val="00CD1009"/>
    <w:rsid w:val="00CD29B9"/>
    <w:rsid w:val="00CD2E63"/>
    <w:rsid w:val="00CD3550"/>
    <w:rsid w:val="00CD3AF9"/>
    <w:rsid w:val="00CD4723"/>
    <w:rsid w:val="00CD4D93"/>
    <w:rsid w:val="00CD5B85"/>
    <w:rsid w:val="00CD5DB3"/>
    <w:rsid w:val="00CD6BED"/>
    <w:rsid w:val="00CD7D5D"/>
    <w:rsid w:val="00CE48E2"/>
    <w:rsid w:val="00CE5136"/>
    <w:rsid w:val="00CE59BC"/>
    <w:rsid w:val="00CE6A9E"/>
    <w:rsid w:val="00CF0FC4"/>
    <w:rsid w:val="00CF150C"/>
    <w:rsid w:val="00CF1706"/>
    <w:rsid w:val="00CF1E61"/>
    <w:rsid w:val="00CF48EF"/>
    <w:rsid w:val="00CF50D5"/>
    <w:rsid w:val="00CF613A"/>
    <w:rsid w:val="00CF6932"/>
    <w:rsid w:val="00D01F52"/>
    <w:rsid w:val="00D01FE3"/>
    <w:rsid w:val="00D03ACC"/>
    <w:rsid w:val="00D04F65"/>
    <w:rsid w:val="00D06CA3"/>
    <w:rsid w:val="00D071BB"/>
    <w:rsid w:val="00D07885"/>
    <w:rsid w:val="00D07F46"/>
    <w:rsid w:val="00D122E9"/>
    <w:rsid w:val="00D12E6F"/>
    <w:rsid w:val="00D12F50"/>
    <w:rsid w:val="00D1552E"/>
    <w:rsid w:val="00D170E5"/>
    <w:rsid w:val="00D207C1"/>
    <w:rsid w:val="00D207F0"/>
    <w:rsid w:val="00D21155"/>
    <w:rsid w:val="00D2455E"/>
    <w:rsid w:val="00D2600C"/>
    <w:rsid w:val="00D26D87"/>
    <w:rsid w:val="00D30295"/>
    <w:rsid w:val="00D30793"/>
    <w:rsid w:val="00D31229"/>
    <w:rsid w:val="00D3271A"/>
    <w:rsid w:val="00D33134"/>
    <w:rsid w:val="00D34688"/>
    <w:rsid w:val="00D366D7"/>
    <w:rsid w:val="00D373C8"/>
    <w:rsid w:val="00D37F2F"/>
    <w:rsid w:val="00D40765"/>
    <w:rsid w:val="00D415B9"/>
    <w:rsid w:val="00D461E5"/>
    <w:rsid w:val="00D46FF4"/>
    <w:rsid w:val="00D47C3D"/>
    <w:rsid w:val="00D51405"/>
    <w:rsid w:val="00D528E8"/>
    <w:rsid w:val="00D53416"/>
    <w:rsid w:val="00D57546"/>
    <w:rsid w:val="00D61949"/>
    <w:rsid w:val="00D62AA2"/>
    <w:rsid w:val="00D66019"/>
    <w:rsid w:val="00D665EB"/>
    <w:rsid w:val="00D66DDB"/>
    <w:rsid w:val="00D66F77"/>
    <w:rsid w:val="00D71273"/>
    <w:rsid w:val="00D71F49"/>
    <w:rsid w:val="00D71F7F"/>
    <w:rsid w:val="00D7211A"/>
    <w:rsid w:val="00D771D0"/>
    <w:rsid w:val="00D772A3"/>
    <w:rsid w:val="00D775D6"/>
    <w:rsid w:val="00D80A79"/>
    <w:rsid w:val="00D835CF"/>
    <w:rsid w:val="00D84D5B"/>
    <w:rsid w:val="00D86FEB"/>
    <w:rsid w:val="00D9149A"/>
    <w:rsid w:val="00D94AAF"/>
    <w:rsid w:val="00D967D0"/>
    <w:rsid w:val="00D972CF"/>
    <w:rsid w:val="00DA0326"/>
    <w:rsid w:val="00DA1094"/>
    <w:rsid w:val="00DA207D"/>
    <w:rsid w:val="00DA235A"/>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336E"/>
    <w:rsid w:val="00DC5ACF"/>
    <w:rsid w:val="00DC6EA1"/>
    <w:rsid w:val="00DC7010"/>
    <w:rsid w:val="00DC7888"/>
    <w:rsid w:val="00DC7E71"/>
    <w:rsid w:val="00DC7E7A"/>
    <w:rsid w:val="00DD0399"/>
    <w:rsid w:val="00DD1D8B"/>
    <w:rsid w:val="00DD22D7"/>
    <w:rsid w:val="00DD6920"/>
    <w:rsid w:val="00DD6F38"/>
    <w:rsid w:val="00DD7468"/>
    <w:rsid w:val="00DD7DF5"/>
    <w:rsid w:val="00DE25E9"/>
    <w:rsid w:val="00DE3D5E"/>
    <w:rsid w:val="00DE67B7"/>
    <w:rsid w:val="00DE71D3"/>
    <w:rsid w:val="00DE72CF"/>
    <w:rsid w:val="00DE7AFC"/>
    <w:rsid w:val="00DF08A0"/>
    <w:rsid w:val="00DF12E0"/>
    <w:rsid w:val="00DF19C4"/>
    <w:rsid w:val="00DF3190"/>
    <w:rsid w:val="00DF33F5"/>
    <w:rsid w:val="00DF5888"/>
    <w:rsid w:val="00E02041"/>
    <w:rsid w:val="00E0303C"/>
    <w:rsid w:val="00E032C7"/>
    <w:rsid w:val="00E1049C"/>
    <w:rsid w:val="00E11E26"/>
    <w:rsid w:val="00E12917"/>
    <w:rsid w:val="00E136DA"/>
    <w:rsid w:val="00E1686D"/>
    <w:rsid w:val="00E21C4D"/>
    <w:rsid w:val="00E22B25"/>
    <w:rsid w:val="00E22CCA"/>
    <w:rsid w:val="00E25389"/>
    <w:rsid w:val="00E2604A"/>
    <w:rsid w:val="00E269CF"/>
    <w:rsid w:val="00E4062A"/>
    <w:rsid w:val="00E41596"/>
    <w:rsid w:val="00E41F8A"/>
    <w:rsid w:val="00E4256F"/>
    <w:rsid w:val="00E42721"/>
    <w:rsid w:val="00E42BAC"/>
    <w:rsid w:val="00E43256"/>
    <w:rsid w:val="00E433A1"/>
    <w:rsid w:val="00E43B5D"/>
    <w:rsid w:val="00E5120E"/>
    <w:rsid w:val="00E52148"/>
    <w:rsid w:val="00E52307"/>
    <w:rsid w:val="00E52FAF"/>
    <w:rsid w:val="00E5312A"/>
    <w:rsid w:val="00E54898"/>
    <w:rsid w:val="00E552B8"/>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1780"/>
    <w:rsid w:val="00E918E2"/>
    <w:rsid w:val="00E91B67"/>
    <w:rsid w:val="00E9253C"/>
    <w:rsid w:val="00E938FE"/>
    <w:rsid w:val="00E971A9"/>
    <w:rsid w:val="00E971D9"/>
    <w:rsid w:val="00EA1F45"/>
    <w:rsid w:val="00EA216C"/>
    <w:rsid w:val="00EA30B3"/>
    <w:rsid w:val="00EA5874"/>
    <w:rsid w:val="00EA5CF8"/>
    <w:rsid w:val="00EA6BA3"/>
    <w:rsid w:val="00EB1A01"/>
    <w:rsid w:val="00EB3E04"/>
    <w:rsid w:val="00EB45B5"/>
    <w:rsid w:val="00EB4B9A"/>
    <w:rsid w:val="00EB52D3"/>
    <w:rsid w:val="00EB5B15"/>
    <w:rsid w:val="00EB5E57"/>
    <w:rsid w:val="00EB61DB"/>
    <w:rsid w:val="00EB6676"/>
    <w:rsid w:val="00EB7100"/>
    <w:rsid w:val="00EC1B92"/>
    <w:rsid w:val="00EC3315"/>
    <w:rsid w:val="00ED3EEB"/>
    <w:rsid w:val="00ED4AFD"/>
    <w:rsid w:val="00ED691E"/>
    <w:rsid w:val="00EE0121"/>
    <w:rsid w:val="00EE2675"/>
    <w:rsid w:val="00EE4FBE"/>
    <w:rsid w:val="00EE5E76"/>
    <w:rsid w:val="00EE6335"/>
    <w:rsid w:val="00EF3138"/>
    <w:rsid w:val="00EF32D2"/>
    <w:rsid w:val="00EF402C"/>
    <w:rsid w:val="00EF48F9"/>
    <w:rsid w:val="00EF4FF7"/>
    <w:rsid w:val="00EF5870"/>
    <w:rsid w:val="00EF5B8A"/>
    <w:rsid w:val="00EF6299"/>
    <w:rsid w:val="00EF757C"/>
    <w:rsid w:val="00F013AA"/>
    <w:rsid w:val="00F01B6B"/>
    <w:rsid w:val="00F048C8"/>
    <w:rsid w:val="00F062E1"/>
    <w:rsid w:val="00F069B1"/>
    <w:rsid w:val="00F073D2"/>
    <w:rsid w:val="00F10DAD"/>
    <w:rsid w:val="00F11BE9"/>
    <w:rsid w:val="00F12661"/>
    <w:rsid w:val="00F12AC4"/>
    <w:rsid w:val="00F15789"/>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12A4"/>
    <w:rsid w:val="00F51A83"/>
    <w:rsid w:val="00F52080"/>
    <w:rsid w:val="00F52920"/>
    <w:rsid w:val="00F52BF3"/>
    <w:rsid w:val="00F539B5"/>
    <w:rsid w:val="00F548CD"/>
    <w:rsid w:val="00F54CA0"/>
    <w:rsid w:val="00F55C01"/>
    <w:rsid w:val="00F5649A"/>
    <w:rsid w:val="00F5674D"/>
    <w:rsid w:val="00F6072B"/>
    <w:rsid w:val="00F608F4"/>
    <w:rsid w:val="00F60D76"/>
    <w:rsid w:val="00F61682"/>
    <w:rsid w:val="00F6199F"/>
    <w:rsid w:val="00F6344A"/>
    <w:rsid w:val="00F63C56"/>
    <w:rsid w:val="00F641A4"/>
    <w:rsid w:val="00F65BEB"/>
    <w:rsid w:val="00F65F9C"/>
    <w:rsid w:val="00F66253"/>
    <w:rsid w:val="00F678AF"/>
    <w:rsid w:val="00F67DC5"/>
    <w:rsid w:val="00F71E1A"/>
    <w:rsid w:val="00F72177"/>
    <w:rsid w:val="00F731D6"/>
    <w:rsid w:val="00F74958"/>
    <w:rsid w:val="00F771E5"/>
    <w:rsid w:val="00F77BF5"/>
    <w:rsid w:val="00F77EFC"/>
    <w:rsid w:val="00F805C8"/>
    <w:rsid w:val="00F82342"/>
    <w:rsid w:val="00F82419"/>
    <w:rsid w:val="00F82F47"/>
    <w:rsid w:val="00F8618D"/>
    <w:rsid w:val="00F862BF"/>
    <w:rsid w:val="00F86520"/>
    <w:rsid w:val="00F877DB"/>
    <w:rsid w:val="00F90145"/>
    <w:rsid w:val="00F90841"/>
    <w:rsid w:val="00F91AE4"/>
    <w:rsid w:val="00F93C8B"/>
    <w:rsid w:val="00F959DD"/>
    <w:rsid w:val="00F960D5"/>
    <w:rsid w:val="00F960EA"/>
    <w:rsid w:val="00F979D0"/>
    <w:rsid w:val="00FA0D60"/>
    <w:rsid w:val="00FA166E"/>
    <w:rsid w:val="00FA1F70"/>
    <w:rsid w:val="00FA3AA7"/>
    <w:rsid w:val="00FA4BF4"/>
    <w:rsid w:val="00FA67D2"/>
    <w:rsid w:val="00FB0BB7"/>
    <w:rsid w:val="00FB105A"/>
    <w:rsid w:val="00FB1231"/>
    <w:rsid w:val="00FB17C8"/>
    <w:rsid w:val="00FB287D"/>
    <w:rsid w:val="00FB37BD"/>
    <w:rsid w:val="00FB3C6E"/>
    <w:rsid w:val="00FB687E"/>
    <w:rsid w:val="00FC1655"/>
    <w:rsid w:val="00FC1C5C"/>
    <w:rsid w:val="00FC2A0F"/>
    <w:rsid w:val="00FC3391"/>
    <w:rsid w:val="00FC40D7"/>
    <w:rsid w:val="00FC4EAF"/>
    <w:rsid w:val="00FC54F5"/>
    <w:rsid w:val="00FC57FC"/>
    <w:rsid w:val="00FC5F79"/>
    <w:rsid w:val="00FC6577"/>
    <w:rsid w:val="00FD03D6"/>
    <w:rsid w:val="00FD3602"/>
    <w:rsid w:val="00FD4F48"/>
    <w:rsid w:val="00FD62FD"/>
    <w:rsid w:val="00FD7AED"/>
    <w:rsid w:val="00FE17E2"/>
    <w:rsid w:val="00FE216A"/>
    <w:rsid w:val="00FE2A9D"/>
    <w:rsid w:val="00FE4A35"/>
    <w:rsid w:val="00FE507B"/>
    <w:rsid w:val="00FE602E"/>
    <w:rsid w:val="00FE6046"/>
    <w:rsid w:val="00FE63BA"/>
    <w:rsid w:val="00FE6C08"/>
    <w:rsid w:val="00FE77C8"/>
    <w:rsid w:val="00FF069A"/>
    <w:rsid w:val="00FF228C"/>
    <w:rsid w:val="00FF4B18"/>
    <w:rsid w:val="00FF6E4B"/>
    <w:rsid w:val="00FF7C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6479937">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096444625">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haron.Daniels@harrow.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oderngov.harrow.gov.uk/documents/s175282/Final%20Budget%20Report%20February%20Cabinet%20-3-2-202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7265</Words>
  <Characters>37991</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45166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Alison Atherton</cp:lastModifiedBy>
  <cp:revision>12</cp:revision>
  <cp:lastPrinted>2019-09-02T07:18:00Z</cp:lastPrinted>
  <dcterms:created xsi:type="dcterms:W3CDTF">2023-08-30T14:12:00Z</dcterms:created>
  <dcterms:modified xsi:type="dcterms:W3CDTF">2023-09-05T16:31:00Z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